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0C8848EC"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Decision </w:t>
            </w:r>
          </w:p>
        </w:tc>
      </w:tr>
      <w:tr w:rsidR="00CE544A" w:rsidRPr="003E4C33" w14:paraId="33BEC222" w14:textId="77777777" w:rsidTr="6705CB2F">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3FB883AF" w:rsidR="00F445B1" w:rsidRPr="00C55247" w:rsidRDefault="00B13982" w:rsidP="007B5CA2">
            <w:pPr>
              <w:rPr>
                <w:rFonts w:cs="Arial"/>
                <w:b/>
                <w:bCs/>
                <w:color w:val="auto"/>
              </w:rPr>
            </w:pPr>
            <w:r>
              <w:rPr>
                <w:rStyle w:val="Firstpagetablebold"/>
                <w:b w:val="0"/>
              </w:rPr>
              <w:t>12</w:t>
            </w:r>
            <w:r w:rsidRPr="00B13982">
              <w:rPr>
                <w:rStyle w:val="Firstpagetablebold"/>
                <w:b w:val="0"/>
                <w:vertAlign w:val="superscript"/>
              </w:rPr>
              <w:t>th</w:t>
            </w:r>
            <w:r>
              <w:rPr>
                <w:rStyle w:val="Firstpagetablebold"/>
                <w:b w:val="0"/>
              </w:rPr>
              <w:t xml:space="preserve"> August 2025 </w:t>
            </w:r>
          </w:p>
        </w:tc>
      </w:tr>
      <w:tr w:rsidR="00CE544A" w:rsidRPr="003E4C33" w14:paraId="4976D647" w14:textId="77777777" w:rsidTr="6705CB2F">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tcPr>
          <w:p w14:paraId="4CADFAAE" w14:textId="44EC0A9C" w:rsidR="00F445B1" w:rsidRPr="00C55247" w:rsidRDefault="00124BE3" w:rsidP="2BB29E7E">
            <w:pPr>
              <w:rPr>
                <w:rStyle w:val="Firstpagetablebold"/>
                <w:rFonts w:cs="Arial"/>
                <w:b w:val="0"/>
                <w:color w:val="auto"/>
              </w:rPr>
            </w:pPr>
            <w:r>
              <w:rPr>
                <w:rStyle w:val="Firstpagetablebold"/>
                <w:rFonts w:cs="Arial"/>
                <w:b w:val="0"/>
                <w:color w:val="auto"/>
              </w:rPr>
              <w:t xml:space="preserve">Tom Hook </w:t>
            </w:r>
            <w:r w:rsidRPr="00124BE3">
              <w:rPr>
                <w:rStyle w:val="Firstpagetablebold"/>
                <w:rFonts w:cs="Arial"/>
                <w:b w:val="0"/>
                <w:color w:val="auto"/>
              </w:rPr>
              <w:t>Deputy Chief Executive – City and Citizens’ Services</w:t>
            </w:r>
          </w:p>
        </w:tc>
      </w:tr>
      <w:tr w:rsidR="00CE544A" w:rsidRPr="003E4C33" w14:paraId="1CE13DCA" w14:textId="77777777" w:rsidTr="6705CB2F">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04146131" w14:textId="4E4340D2" w:rsidR="00F445B1" w:rsidRPr="0087470E" w:rsidRDefault="006308E0" w:rsidP="6705CB2F">
            <w:pPr>
              <w:rPr>
                <w:rStyle w:val="Firstpagetablebold"/>
                <w:rFonts w:cs="Arial"/>
                <w:bCs/>
                <w:color w:val="auto"/>
              </w:rPr>
            </w:pPr>
            <w:r>
              <w:rPr>
                <w:bCs/>
                <w:iCs/>
              </w:rPr>
              <w:t xml:space="preserve">Appointment of successful suppliers to </w:t>
            </w:r>
            <w:r w:rsidR="0087470E" w:rsidRPr="0087470E">
              <w:rPr>
                <w:bCs/>
                <w:iCs/>
              </w:rPr>
              <w:t>Interim Emergency Temporary Accommodation Framework</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5B4B15B5" w:rsidR="00D5547E" w:rsidRPr="00C55247" w:rsidRDefault="00141BB6" w:rsidP="00141BB6">
            <w:pPr>
              <w:rPr>
                <w:rFonts w:cs="Arial"/>
                <w:color w:val="auto"/>
              </w:rPr>
            </w:pPr>
            <w:r w:rsidRPr="00141BB6">
              <w:rPr>
                <w:rFonts w:cs="Arial"/>
                <w:color w:val="auto"/>
              </w:rPr>
              <w:t>T</w:t>
            </w:r>
            <w:r w:rsidR="0085731B">
              <w:rPr>
                <w:rFonts w:cs="Arial"/>
                <w:color w:val="auto"/>
              </w:rPr>
              <w:t xml:space="preserve">o </w:t>
            </w:r>
            <w:r w:rsidR="00BE37D8">
              <w:rPr>
                <w:rFonts w:cs="Arial"/>
                <w:color w:val="auto"/>
              </w:rPr>
              <w:t xml:space="preserve">appoint </w:t>
            </w:r>
            <w:r w:rsidRPr="00141BB6">
              <w:rPr>
                <w:rFonts w:cs="Arial"/>
                <w:color w:val="auto"/>
              </w:rPr>
              <w:t xml:space="preserve">successful suppliers </w:t>
            </w:r>
            <w:r w:rsidR="0096515D">
              <w:rPr>
                <w:rFonts w:cs="Arial"/>
                <w:color w:val="auto"/>
              </w:rPr>
              <w:t xml:space="preserve">listed </w:t>
            </w:r>
            <w:r w:rsidR="00C47DEC">
              <w:rPr>
                <w:rFonts w:cs="Arial"/>
                <w:color w:val="auto"/>
              </w:rPr>
              <w:t xml:space="preserve">below </w:t>
            </w:r>
            <w:r w:rsidRPr="00141BB6">
              <w:rPr>
                <w:rFonts w:cs="Arial"/>
                <w:color w:val="auto"/>
              </w:rPr>
              <w:t>to Lot 1, Lot 2, Lot 3 and Lot 4 of the Interim Emergency Temporary Accommodation Framework</w:t>
            </w:r>
            <w:r w:rsidR="00617121">
              <w:rPr>
                <w:rFonts w:cs="Arial"/>
                <w:color w:val="auto"/>
              </w:rPr>
              <w:t>.</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5F1D05F0" w:rsidR="00D5547E" w:rsidRPr="00C55247" w:rsidRDefault="00423418" w:rsidP="2BB29E7E">
            <w:pPr>
              <w:rPr>
                <w:rFonts w:cs="Arial"/>
                <w:color w:val="auto"/>
              </w:rPr>
            </w:pPr>
            <w:r>
              <w:rPr>
                <w:rFonts w:cs="Arial"/>
                <w:color w:val="auto"/>
              </w:rPr>
              <w:t>No</w:t>
            </w:r>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0F817ED6" w14:textId="46DDB985" w:rsidR="006C767F" w:rsidRPr="00C55247" w:rsidRDefault="00141BB6" w:rsidP="00523261">
            <w:pPr>
              <w:rPr>
                <w:rFonts w:cs="Arial"/>
                <w:color w:val="auto"/>
              </w:rPr>
            </w:pPr>
            <w:r w:rsidRPr="00141BB6">
              <w:rPr>
                <w:rFonts w:cs="Arial"/>
                <w:color w:val="auto"/>
              </w:rPr>
              <w:t xml:space="preserve">Cabinet </w:t>
            </w:r>
            <w:r>
              <w:rPr>
                <w:rFonts w:cs="Arial"/>
                <w:color w:val="auto"/>
              </w:rPr>
              <w:t>delegated decision on</w:t>
            </w:r>
            <w:r w:rsidRPr="00141BB6">
              <w:rPr>
                <w:rFonts w:cs="Arial"/>
                <w:color w:val="auto"/>
              </w:rPr>
              <w:t xml:space="preserve"> 10th July 2024.</w:t>
            </w:r>
          </w:p>
          <w:p w14:paraId="738322BA" w14:textId="183CCF89" w:rsidR="006C767F" w:rsidRPr="00C55247" w:rsidRDefault="00141BB6" w:rsidP="00523261">
            <w:pPr>
              <w:pStyle w:val="ListParagraph"/>
              <w:numPr>
                <w:ilvl w:val="0"/>
                <w:numId w:val="38"/>
              </w:numPr>
              <w:rPr>
                <w:rFonts w:cs="Arial"/>
                <w:color w:val="auto"/>
              </w:rPr>
            </w:pPr>
            <w:hyperlink r:id="rId11" w:history="1">
              <w:r w:rsidRPr="00141BB6">
                <w:rPr>
                  <w:rStyle w:val="Hyperlink"/>
                  <w:rFonts w:cs="Arial"/>
                </w:rPr>
                <w:t>OxCityCouncil Cabinet report</w:t>
              </w:r>
            </w:hyperlink>
          </w:p>
          <w:p w14:paraId="24C2E022" w14:textId="6068AF07" w:rsidR="00CB2DA3" w:rsidRPr="00C55247" w:rsidRDefault="00CB2DA3" w:rsidP="00466E57">
            <w:pPr>
              <w:jc w:val="both"/>
              <w:rPr>
                <w:rFonts w:cs="Arial"/>
                <w:color w:val="auto"/>
              </w:rPr>
            </w:pP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78CB2EAE" w:rsidR="00E508A1" w:rsidRPr="00C55247" w:rsidRDefault="00E508A1" w:rsidP="00E508A1">
            <w:pPr>
              <w:rPr>
                <w:rFonts w:cs="Arial"/>
                <w:color w:val="auto"/>
              </w:rPr>
            </w:pPr>
            <w:r w:rsidRPr="00C55247">
              <w:rPr>
                <w:color w:val="auto"/>
              </w:rPr>
              <w:t xml:space="preserve">Councillor </w:t>
            </w:r>
            <w:r w:rsidR="00141BB6">
              <w:rPr>
                <w:color w:val="auto"/>
              </w:rPr>
              <w:t>Linda Smith</w:t>
            </w:r>
            <w:r w:rsidRPr="00C55247">
              <w:rPr>
                <w:color w:val="auto"/>
              </w:rPr>
              <w:t xml:space="preserve">, </w:t>
            </w:r>
            <w:r w:rsidR="00141BB6" w:rsidRPr="00141BB6">
              <w:rPr>
                <w:color w:val="auto"/>
              </w:rPr>
              <w:t>Cabinet Member for Housing and Communities</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15E6EC5C" w:rsidR="00E508A1" w:rsidRPr="00C55247" w:rsidRDefault="00141BB6" w:rsidP="00E508A1">
            <w:pPr>
              <w:rPr>
                <w:rFonts w:cs="Arial"/>
                <w:color w:val="auto"/>
              </w:rPr>
            </w:pPr>
            <w:r>
              <w:rPr>
                <w:color w:val="auto"/>
              </w:rPr>
              <w:t>More Good Affordable Homes</w:t>
            </w:r>
            <w:r w:rsidR="00E508A1" w:rsidRPr="00C55247">
              <w:rPr>
                <w:color w:val="auto"/>
              </w:rPr>
              <w:t>.</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5DBEA380" w14:textId="77777777" w:rsidR="00141BB6" w:rsidRPr="00141BB6" w:rsidRDefault="00141BB6" w:rsidP="00141BB6">
            <w:pPr>
              <w:rPr>
                <w:rFonts w:cs="Arial"/>
                <w:color w:val="auto"/>
              </w:rPr>
            </w:pPr>
            <w:r w:rsidRPr="00141BB6">
              <w:rPr>
                <w:rFonts w:cs="Arial"/>
                <w:color w:val="auto"/>
              </w:rPr>
              <w:t>Housing, Homelessness and Rough Sleeping Strategy</w:t>
            </w:r>
          </w:p>
          <w:p w14:paraId="4C1C7DD3" w14:textId="75935FC8" w:rsidR="00E508A1" w:rsidRPr="00C55247" w:rsidRDefault="00141BB6" w:rsidP="00141BB6">
            <w:pPr>
              <w:rPr>
                <w:rFonts w:cs="Arial"/>
                <w:color w:val="auto"/>
              </w:rPr>
            </w:pPr>
            <w:r w:rsidRPr="00141BB6">
              <w:rPr>
                <w:rFonts w:cs="Arial"/>
                <w:color w:val="auto"/>
              </w:rPr>
              <w:t>2023-2028</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340B77" w:rsidRPr="00975B07" w14:paraId="6AB9E16B" w14:textId="77777777" w:rsidTr="0011641F">
        <w:trPr>
          <w:trHeight w:val="413"/>
        </w:trPr>
        <w:tc>
          <w:tcPr>
            <w:tcW w:w="8845" w:type="dxa"/>
            <w:gridSpan w:val="2"/>
            <w:tcBorders>
              <w:bottom w:val="single" w:sz="8" w:space="0" w:color="000000"/>
            </w:tcBorders>
          </w:tcPr>
          <w:p w14:paraId="39BB8A6A" w14:textId="0EFF92D1" w:rsidR="00340B77" w:rsidRPr="00975B07" w:rsidRDefault="00635E3E" w:rsidP="0011641F">
            <w:r>
              <w:t xml:space="preserve">The </w:t>
            </w:r>
            <w:r w:rsidR="00D95F81" w:rsidRPr="00124BE3">
              <w:rPr>
                <w:rStyle w:val="Firstpagetablebold"/>
                <w:rFonts w:cs="Arial"/>
                <w:b w:val="0"/>
                <w:color w:val="auto"/>
              </w:rPr>
              <w:t>Deputy Chief Executive – City and Citizens’ Services</w:t>
            </w:r>
            <w:r>
              <w:t xml:space="preserve"> decides as follows: </w:t>
            </w:r>
          </w:p>
        </w:tc>
      </w:tr>
      <w:tr w:rsidR="00340B77" w:rsidRPr="00975B07" w14:paraId="1817F3CE" w14:textId="77777777" w:rsidTr="0011641F">
        <w:trPr>
          <w:trHeight w:val="283"/>
        </w:trPr>
        <w:tc>
          <w:tcPr>
            <w:tcW w:w="426" w:type="dxa"/>
            <w:tcBorders>
              <w:top w:val="single" w:sz="8" w:space="0" w:color="000000"/>
              <w:left w:val="single" w:sz="8" w:space="0" w:color="000000"/>
              <w:bottom w:val="nil"/>
              <w:right w:val="nil"/>
            </w:tcBorders>
          </w:tcPr>
          <w:p w14:paraId="7809A8B3" w14:textId="31DAD2E4" w:rsidR="0085731B" w:rsidRPr="00975B07" w:rsidRDefault="0085731B" w:rsidP="0011641F"/>
        </w:tc>
        <w:tc>
          <w:tcPr>
            <w:tcW w:w="8419" w:type="dxa"/>
            <w:tcBorders>
              <w:top w:val="single" w:sz="8" w:space="0" w:color="000000"/>
              <w:left w:val="nil"/>
              <w:bottom w:val="nil"/>
              <w:right w:val="single" w:sz="8" w:space="0" w:color="000000"/>
            </w:tcBorders>
          </w:tcPr>
          <w:p w14:paraId="2599CB46" w14:textId="11A0BF45" w:rsidR="0085731B" w:rsidRPr="001356F1" w:rsidRDefault="0085731B" w:rsidP="0085731B"/>
        </w:tc>
      </w:tr>
      <w:tr w:rsidR="00962572" w:rsidRPr="00975B07" w14:paraId="49CA75AD" w14:textId="77777777" w:rsidTr="0011641F">
        <w:trPr>
          <w:trHeight w:val="283"/>
        </w:trPr>
        <w:tc>
          <w:tcPr>
            <w:tcW w:w="426" w:type="dxa"/>
            <w:tcBorders>
              <w:top w:val="nil"/>
              <w:left w:val="single" w:sz="8" w:space="0" w:color="000000"/>
              <w:bottom w:val="nil"/>
              <w:right w:val="nil"/>
            </w:tcBorders>
          </w:tcPr>
          <w:p w14:paraId="69F0E23A" w14:textId="72010133" w:rsidR="00962572" w:rsidRPr="00975B07" w:rsidRDefault="00962572" w:rsidP="00962572">
            <w:r w:rsidRPr="00975B07">
              <w:t>1.</w:t>
            </w:r>
          </w:p>
        </w:tc>
        <w:tc>
          <w:tcPr>
            <w:tcW w:w="8419" w:type="dxa"/>
            <w:tcBorders>
              <w:top w:val="nil"/>
              <w:left w:val="nil"/>
              <w:bottom w:val="nil"/>
              <w:right w:val="single" w:sz="8" w:space="0" w:color="000000"/>
            </w:tcBorders>
          </w:tcPr>
          <w:p w14:paraId="5923B458" w14:textId="2F089A48" w:rsidR="00AD6945" w:rsidRPr="00DB75F7" w:rsidRDefault="00AD6945" w:rsidP="00962572">
            <w:pPr>
              <w:rPr>
                <w:rFonts w:cs="Arial"/>
                <w:color w:val="auto"/>
              </w:rPr>
            </w:pPr>
            <w:r w:rsidRPr="00DB75F7">
              <w:rPr>
                <w:b/>
                <w:bCs/>
              </w:rPr>
              <w:t>Lot 1: Emergency Accommodation for Adults with Dependent Children</w:t>
            </w:r>
            <w:r w:rsidRPr="00AD6945">
              <w:t xml:space="preserve"> </w:t>
            </w:r>
            <w:r w:rsidR="00071D04" w:rsidRPr="00071D04">
              <w:t xml:space="preserve">To award </w:t>
            </w:r>
            <w:r w:rsidR="006654EA" w:rsidRPr="00670BAE">
              <w:rPr>
                <w:color w:val="auto"/>
              </w:rPr>
              <w:t>Oxford bed and breakfast limited, JW Property Management Group Ltd</w:t>
            </w:r>
            <w:r w:rsidR="00670BAE" w:rsidRPr="00670BAE">
              <w:rPr>
                <w:color w:val="auto"/>
              </w:rPr>
              <w:t xml:space="preserve"> and</w:t>
            </w:r>
            <w:r w:rsidR="006654EA" w:rsidRPr="00670BAE">
              <w:rPr>
                <w:color w:val="auto"/>
              </w:rPr>
              <w:t xml:space="preserve"> </w:t>
            </w:r>
            <w:r w:rsidR="00670BAE" w:rsidRPr="00670BAE">
              <w:rPr>
                <w:bCs/>
                <w:color w:val="auto"/>
              </w:rPr>
              <w:t>Barlow Tree Limited</w:t>
            </w:r>
            <w:r w:rsidR="00071D04" w:rsidRPr="00670BAE">
              <w:rPr>
                <w:color w:val="auto"/>
              </w:rPr>
              <w:t xml:space="preserve"> </w:t>
            </w:r>
            <w:r w:rsidR="00071D04" w:rsidRPr="00071D04">
              <w:t>to Lot 1 of the Interim Emergency Temporary Accommodation Framework</w:t>
            </w:r>
          </w:p>
        </w:tc>
      </w:tr>
      <w:tr w:rsidR="00962572" w:rsidRPr="00975B07" w14:paraId="7CD4FE14" w14:textId="77777777" w:rsidTr="0011641F">
        <w:trPr>
          <w:trHeight w:val="283"/>
        </w:trPr>
        <w:tc>
          <w:tcPr>
            <w:tcW w:w="426" w:type="dxa"/>
            <w:tcBorders>
              <w:top w:val="nil"/>
              <w:left w:val="single" w:sz="8" w:space="0" w:color="000000"/>
              <w:bottom w:val="nil"/>
              <w:right w:val="nil"/>
            </w:tcBorders>
          </w:tcPr>
          <w:p w14:paraId="587A59CF" w14:textId="77777777" w:rsidR="00962572" w:rsidRDefault="00962572" w:rsidP="00962572">
            <w:r w:rsidRPr="00975B07">
              <w:t>2.</w:t>
            </w:r>
          </w:p>
          <w:p w14:paraId="7711424A" w14:textId="0102FAA2" w:rsidR="00962572" w:rsidRPr="00962572" w:rsidRDefault="00962572" w:rsidP="00962572"/>
        </w:tc>
        <w:tc>
          <w:tcPr>
            <w:tcW w:w="8419" w:type="dxa"/>
            <w:tcBorders>
              <w:top w:val="nil"/>
              <w:left w:val="nil"/>
              <w:bottom w:val="nil"/>
              <w:right w:val="single" w:sz="8" w:space="0" w:color="000000"/>
            </w:tcBorders>
          </w:tcPr>
          <w:p w14:paraId="6C2905EB" w14:textId="6B4CE8B5" w:rsidR="00962572" w:rsidRPr="00962572" w:rsidRDefault="00AD6945" w:rsidP="00962572">
            <w:pPr>
              <w:tabs>
                <w:tab w:val="left" w:pos="0"/>
              </w:tabs>
              <w:jc w:val="both"/>
              <w:rPr>
                <w:rFonts w:cs="Arial"/>
                <w:color w:val="auto"/>
              </w:rPr>
            </w:pPr>
            <w:r w:rsidRPr="00DB75F7">
              <w:rPr>
                <w:b/>
              </w:rPr>
              <w:t>Lot 2: Emergency Accommodation for Adults with No Dependent Children</w:t>
            </w:r>
            <w:r w:rsidRPr="00AD6945">
              <w:rPr>
                <w:bCs/>
              </w:rPr>
              <w:t xml:space="preserve"> </w:t>
            </w:r>
            <w:r w:rsidR="00071D04" w:rsidRPr="00071D04">
              <w:rPr>
                <w:bCs/>
              </w:rPr>
              <w:t>To award</w:t>
            </w:r>
            <w:r w:rsidR="00071D04" w:rsidRPr="00670BAE">
              <w:rPr>
                <w:bCs/>
                <w:color w:val="auto"/>
              </w:rPr>
              <w:t xml:space="preserve"> </w:t>
            </w:r>
            <w:r w:rsidR="00670BAE" w:rsidRPr="00670BAE">
              <w:rPr>
                <w:color w:val="auto"/>
              </w:rPr>
              <w:t xml:space="preserve">Oxford bed and breakfast limited, </w:t>
            </w:r>
            <w:r w:rsidR="006654EA" w:rsidRPr="00670BAE">
              <w:rPr>
                <w:bCs/>
                <w:color w:val="auto"/>
              </w:rPr>
              <w:t>JW Property Management Group Ltd</w:t>
            </w:r>
            <w:r w:rsidR="00670BAE" w:rsidRPr="00670BAE">
              <w:rPr>
                <w:bCs/>
                <w:color w:val="auto"/>
              </w:rPr>
              <w:t xml:space="preserve">, Barlow Tree Limited, Supreme Hotels LLP and Shaheer Ltd </w:t>
            </w:r>
            <w:r w:rsidR="00071D04" w:rsidRPr="00071D04">
              <w:rPr>
                <w:bCs/>
              </w:rPr>
              <w:t>to Lot 2 of the Interim Emergency Temporary Accommodation Framework.</w:t>
            </w:r>
          </w:p>
        </w:tc>
      </w:tr>
      <w:tr w:rsidR="00962572" w:rsidRPr="00975B07" w14:paraId="4ABFABD8" w14:textId="77777777" w:rsidTr="0011641F">
        <w:trPr>
          <w:trHeight w:val="283"/>
        </w:trPr>
        <w:tc>
          <w:tcPr>
            <w:tcW w:w="426" w:type="dxa"/>
            <w:tcBorders>
              <w:top w:val="nil"/>
              <w:left w:val="single" w:sz="8" w:space="0" w:color="000000"/>
              <w:bottom w:val="nil"/>
              <w:right w:val="nil"/>
            </w:tcBorders>
          </w:tcPr>
          <w:p w14:paraId="12245342" w14:textId="79305CD0" w:rsidR="00962572" w:rsidRPr="00975B07" w:rsidRDefault="00962572" w:rsidP="00962572">
            <w:r w:rsidRPr="00975B07">
              <w:t>3.</w:t>
            </w:r>
          </w:p>
        </w:tc>
        <w:tc>
          <w:tcPr>
            <w:tcW w:w="8419" w:type="dxa"/>
            <w:tcBorders>
              <w:top w:val="nil"/>
              <w:left w:val="nil"/>
              <w:bottom w:val="nil"/>
              <w:right w:val="single" w:sz="8" w:space="0" w:color="000000"/>
            </w:tcBorders>
          </w:tcPr>
          <w:p w14:paraId="169AC68C" w14:textId="09594460" w:rsidR="00962572" w:rsidRPr="00962572" w:rsidRDefault="00AD6945" w:rsidP="00962572">
            <w:pPr>
              <w:tabs>
                <w:tab w:val="left" w:pos="0"/>
              </w:tabs>
              <w:jc w:val="both"/>
              <w:rPr>
                <w:rFonts w:cs="Arial"/>
                <w:color w:val="auto"/>
              </w:rPr>
            </w:pPr>
            <w:r w:rsidRPr="00DB75F7">
              <w:rPr>
                <w:b/>
              </w:rPr>
              <w:t>Lot 3: Emergency Accommodation for Higher Risk Adult Singles and Couples</w:t>
            </w:r>
            <w:r w:rsidRPr="00AD6945">
              <w:rPr>
                <w:bCs/>
              </w:rPr>
              <w:t xml:space="preserve"> </w:t>
            </w:r>
            <w:r w:rsidR="00071D04" w:rsidRPr="00071D04">
              <w:rPr>
                <w:bCs/>
              </w:rPr>
              <w:t xml:space="preserve">To </w:t>
            </w:r>
            <w:r w:rsidR="00071D04" w:rsidRPr="00670BAE">
              <w:rPr>
                <w:bCs/>
                <w:color w:val="auto"/>
              </w:rPr>
              <w:t xml:space="preserve">award </w:t>
            </w:r>
            <w:r w:rsidR="00670BAE" w:rsidRPr="00670BAE">
              <w:rPr>
                <w:color w:val="auto"/>
              </w:rPr>
              <w:t>Oxford bed and breakfast limited,</w:t>
            </w:r>
            <w:r w:rsidR="006654EA" w:rsidRPr="00670BAE">
              <w:rPr>
                <w:bCs/>
                <w:color w:val="auto"/>
              </w:rPr>
              <w:t xml:space="preserve"> JW Property </w:t>
            </w:r>
            <w:r w:rsidR="006654EA" w:rsidRPr="00670BAE">
              <w:rPr>
                <w:bCs/>
                <w:color w:val="auto"/>
              </w:rPr>
              <w:lastRenderedPageBreak/>
              <w:t>Management Group Ltd</w:t>
            </w:r>
            <w:r w:rsidR="00670BAE" w:rsidRPr="00670BAE">
              <w:rPr>
                <w:bCs/>
                <w:color w:val="auto"/>
              </w:rPr>
              <w:t xml:space="preserve"> and Barlow Tree Limited </w:t>
            </w:r>
            <w:r w:rsidR="00071D04" w:rsidRPr="00670BAE">
              <w:rPr>
                <w:bCs/>
                <w:color w:val="auto"/>
              </w:rPr>
              <w:t>to Lot 3 of the Interim Emergency Temporary Accommodation Framework</w:t>
            </w:r>
          </w:p>
        </w:tc>
      </w:tr>
      <w:tr w:rsidR="00962572" w:rsidRPr="00975B07" w14:paraId="0BA55342" w14:textId="77777777" w:rsidTr="0011641F">
        <w:trPr>
          <w:trHeight w:val="283"/>
        </w:trPr>
        <w:tc>
          <w:tcPr>
            <w:tcW w:w="426" w:type="dxa"/>
            <w:tcBorders>
              <w:top w:val="nil"/>
              <w:left w:val="single" w:sz="8" w:space="0" w:color="000000"/>
              <w:bottom w:val="single" w:sz="8" w:space="0" w:color="000000"/>
              <w:right w:val="nil"/>
            </w:tcBorders>
          </w:tcPr>
          <w:p w14:paraId="36306625" w14:textId="086D8117" w:rsidR="00962572" w:rsidRPr="00975B07" w:rsidRDefault="00962572" w:rsidP="00962572">
            <w:r w:rsidRPr="00975B07">
              <w:lastRenderedPageBreak/>
              <w:t>4.</w:t>
            </w:r>
          </w:p>
        </w:tc>
        <w:tc>
          <w:tcPr>
            <w:tcW w:w="8419" w:type="dxa"/>
            <w:tcBorders>
              <w:top w:val="nil"/>
              <w:left w:val="nil"/>
              <w:bottom w:val="single" w:sz="8" w:space="0" w:color="000000"/>
              <w:right w:val="single" w:sz="8" w:space="0" w:color="000000"/>
            </w:tcBorders>
          </w:tcPr>
          <w:p w14:paraId="79CB69C3" w14:textId="44EAFDC0" w:rsidR="00962572" w:rsidRPr="00DB75F7" w:rsidRDefault="00AD6945" w:rsidP="00962572">
            <w:pPr>
              <w:tabs>
                <w:tab w:val="left" w:pos="0"/>
              </w:tabs>
              <w:jc w:val="both"/>
              <w:rPr>
                <w:b/>
              </w:rPr>
            </w:pPr>
            <w:r w:rsidRPr="00DB75F7">
              <w:rPr>
                <w:b/>
              </w:rPr>
              <w:t xml:space="preserve">Lot 4: Emergency Self-Contained Accommodation </w:t>
            </w:r>
            <w:r w:rsidR="00071D04" w:rsidRPr="00DB75F7">
              <w:rPr>
                <w:bCs/>
              </w:rPr>
              <w:t xml:space="preserve">To award </w:t>
            </w:r>
            <w:r w:rsidR="00670BAE" w:rsidRPr="00670BAE">
              <w:rPr>
                <w:bCs/>
                <w:color w:val="auto"/>
              </w:rPr>
              <w:t>JW Property Management Group Ltd</w:t>
            </w:r>
            <w:r w:rsidR="002D2AAB">
              <w:rPr>
                <w:bCs/>
                <w:color w:val="auto"/>
              </w:rPr>
              <w:t xml:space="preserve"> and </w:t>
            </w:r>
            <w:r w:rsidR="002D2AAB" w:rsidRPr="002D2AAB">
              <w:rPr>
                <w:bCs/>
                <w:color w:val="auto"/>
              </w:rPr>
              <w:t>Limitless Sourcing Group Ltd</w:t>
            </w:r>
            <w:r w:rsidR="00071D04" w:rsidRPr="00670BAE">
              <w:rPr>
                <w:bCs/>
                <w:color w:val="FF0000"/>
              </w:rPr>
              <w:t xml:space="preserve"> </w:t>
            </w:r>
            <w:r w:rsidR="00071D04" w:rsidRPr="00DB75F7">
              <w:rPr>
                <w:bCs/>
              </w:rPr>
              <w:t>to Lot 4 of the Interim Emergency Temporary Accommodation Framework.</w:t>
            </w:r>
          </w:p>
        </w:tc>
      </w:tr>
    </w:tbl>
    <w:p w14:paraId="161FC716" w14:textId="77777777" w:rsidR="00340B77" w:rsidRDefault="00340B77" w:rsidP="004A6D2F"/>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11641F">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11641F">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11641F">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11641F">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25500E11" w:rsidR="006E1FA1" w:rsidRPr="00C55247" w:rsidRDefault="003A6AC8" w:rsidP="00AE262E">
            <w:pPr>
              <w:rPr>
                <w:rFonts w:cs="Arial"/>
                <w:color w:val="auto"/>
              </w:rPr>
            </w:pPr>
            <w:r>
              <w:rPr>
                <w:rFonts w:cs="Arial"/>
                <w:color w:val="auto"/>
              </w:rPr>
              <w:t>Risk Register</w:t>
            </w:r>
          </w:p>
        </w:tc>
        <w:tc>
          <w:tcPr>
            <w:tcW w:w="4455" w:type="dxa"/>
            <w:tcBorders>
              <w:top w:val="single" w:sz="4" w:space="0" w:color="auto"/>
              <w:left w:val="single" w:sz="4" w:space="0" w:color="auto"/>
              <w:bottom w:val="single" w:sz="4" w:space="0" w:color="auto"/>
              <w:right w:val="single" w:sz="4" w:space="0" w:color="auto"/>
            </w:tcBorders>
          </w:tcPr>
          <w:p w14:paraId="26CB7083" w14:textId="09597107" w:rsidR="004A39C3" w:rsidRPr="00D95F81" w:rsidRDefault="00D6203D" w:rsidP="00D95F81">
            <w:pPr>
              <w:ind w:left="426" w:hanging="426"/>
              <w:rPr>
                <w:color w:val="auto"/>
              </w:rPr>
            </w:pPr>
            <w:r>
              <w:rPr>
                <w:color w:val="auto"/>
              </w:rPr>
              <w:t>No</w:t>
            </w:r>
            <w:r w:rsidR="004A39C3" w:rsidRPr="00C55247">
              <w:rPr>
                <w:color w:val="auto"/>
              </w:rPr>
              <w:t xml:space="preserve"> </w:t>
            </w:r>
          </w:p>
        </w:tc>
      </w:tr>
    </w:tbl>
    <w:p w14:paraId="464A13D2" w14:textId="72C968EF" w:rsidR="0040736F" w:rsidRPr="003E4C33"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2D7EED03" w14:textId="77777777" w:rsidR="00A01C16" w:rsidRDefault="0085731B" w:rsidP="0085731B">
      <w:pPr>
        <w:pStyle w:val="bParagraphtext"/>
        <w:rPr>
          <w:rFonts w:cs="Arial"/>
          <w:color w:val="auto"/>
        </w:rPr>
      </w:pPr>
      <w:r w:rsidRPr="0085731B">
        <w:rPr>
          <w:rFonts w:cs="Arial"/>
          <w:color w:val="auto"/>
        </w:rPr>
        <w:t>Oxford City Council has a statutory duty to provide interim accommodation for</w:t>
      </w:r>
      <w:r>
        <w:rPr>
          <w:rFonts w:cs="Arial"/>
          <w:color w:val="auto"/>
        </w:rPr>
        <w:t xml:space="preserve"> </w:t>
      </w:r>
      <w:r w:rsidRPr="0085731B">
        <w:rPr>
          <w:rFonts w:cs="Arial"/>
          <w:color w:val="auto"/>
        </w:rPr>
        <w:t>households whom the authority has reason to believe are eligible, homeless and in</w:t>
      </w:r>
      <w:r>
        <w:rPr>
          <w:rFonts w:cs="Arial"/>
          <w:color w:val="auto"/>
        </w:rPr>
        <w:t xml:space="preserve"> </w:t>
      </w:r>
      <w:r w:rsidRPr="0085731B">
        <w:rPr>
          <w:rFonts w:cs="Arial"/>
          <w:color w:val="auto"/>
        </w:rPr>
        <w:t xml:space="preserve">Priority Need as prescribed under housing legislation. </w:t>
      </w:r>
    </w:p>
    <w:p w14:paraId="09863093" w14:textId="40418B04" w:rsidR="00D95F81" w:rsidRPr="0085731B" w:rsidRDefault="00D95F81" w:rsidP="0085731B">
      <w:pPr>
        <w:pStyle w:val="bParagraphtext"/>
        <w:rPr>
          <w:rFonts w:cs="Arial"/>
          <w:color w:val="auto"/>
        </w:rPr>
      </w:pPr>
      <w:r w:rsidRPr="0085731B">
        <w:rPr>
          <w:rFonts w:cs="Arial"/>
          <w:color w:val="auto"/>
        </w:rPr>
        <w:t>Due to a significant increase in demand, there has been a corresponding rise in spending on temporary accommodation.</w:t>
      </w:r>
    </w:p>
    <w:p w14:paraId="7C021F09" w14:textId="0BB833C8" w:rsidR="00D95F81" w:rsidRPr="00D95F81" w:rsidRDefault="00794C78" w:rsidP="00794C78">
      <w:pPr>
        <w:pStyle w:val="bParagraphtext"/>
        <w:rPr>
          <w:rFonts w:cs="Arial"/>
          <w:color w:val="auto"/>
        </w:rPr>
      </w:pPr>
      <w:r w:rsidRPr="00794C78">
        <w:rPr>
          <w:rFonts w:cs="Arial"/>
          <w:color w:val="auto"/>
        </w:rPr>
        <w:t>To address this need and ensure value for money, the council is establishing a framework for suppliers. This framework aims to secure fixed prices and discounts for block bookings, providing reassurance and confidence in the suppliers involved. The framework will operate through call-off contracts awarded via competitive tendering, subject to separate decisions. It is designed to be an open framework, allowing for the possibility of additional suppliers being added over time. The value of the framework is aligned with the council’s approved budget for Emergency Temporary Accommodation, which falls under the General Fund and is c</w:t>
      </w:r>
      <w:r>
        <w:rPr>
          <w:rFonts w:cs="Arial"/>
          <w:color w:val="auto"/>
        </w:rPr>
        <w:t>lassified under</w:t>
      </w:r>
      <w:r w:rsidRPr="00794C78">
        <w:rPr>
          <w:rFonts w:cs="Arial"/>
          <w:color w:val="auto"/>
        </w:rPr>
        <w:t xml:space="preserve"> Area S13K - Housing Needs.</w:t>
      </w:r>
    </w:p>
    <w:p w14:paraId="4E115A08" w14:textId="2D62ADCB" w:rsidR="00D95F81" w:rsidRDefault="00D95F81" w:rsidP="00D95F81">
      <w:pPr>
        <w:pStyle w:val="bParagraphtext"/>
        <w:rPr>
          <w:rFonts w:cs="Arial"/>
          <w:color w:val="auto"/>
        </w:rPr>
      </w:pPr>
      <w:r w:rsidRPr="00D95F81">
        <w:rPr>
          <w:rFonts w:cs="Arial"/>
          <w:color w:val="auto"/>
        </w:rPr>
        <w:t>The introduction of a supplier framework is proposed to manage the increased demand and spending on temporary accommodation. This framework would offer fixed prices, discounts for block bookings, and reliable supplier relationships, ultimately benefiting the Council by controlling costs and ensuring quality service.</w:t>
      </w:r>
      <w:r>
        <w:rPr>
          <w:rFonts w:cs="Arial"/>
          <w:color w:val="auto"/>
        </w:rPr>
        <w:t xml:space="preserve"> </w:t>
      </w:r>
    </w:p>
    <w:p w14:paraId="7BDBFD66" w14:textId="24FAC839" w:rsidR="0011641F" w:rsidRPr="00D95F81" w:rsidRDefault="0011641F" w:rsidP="0011641F">
      <w:pPr>
        <w:pStyle w:val="bParagraphtext"/>
        <w:rPr>
          <w:rFonts w:cs="Arial"/>
          <w:color w:val="auto"/>
        </w:rPr>
      </w:pPr>
      <w:r w:rsidRPr="0011641F">
        <w:rPr>
          <w:rFonts w:cs="Arial"/>
          <w:color w:val="auto"/>
        </w:rPr>
        <w:t>The framework has been procured through an open and competitive tendering process, in full compliance with public procurement law. This ensures transparency, fairness, and equal opportunity for all potential suppliers. The procurement process adhered to the principles of the Public Contracts Regulations 2015, including the publication of the contract notice, the use of objective criteria for selection and award, and the provision of feedback to unsuccessful bidders. This rigorous process guarantees that the framework is legally sound and that the appointed suppliers meet the required standards of quality and reliability.</w:t>
      </w:r>
    </w:p>
    <w:p w14:paraId="058F9060" w14:textId="77777777" w:rsidR="00633578" w:rsidRPr="00C55247" w:rsidRDefault="006B2DE1" w:rsidP="002B6836">
      <w:pPr>
        <w:pStyle w:val="Heading1"/>
        <w:rPr>
          <w:rFonts w:cs="Arial"/>
          <w:color w:val="auto"/>
        </w:rPr>
      </w:pPr>
      <w:r w:rsidRPr="00C55247">
        <w:rPr>
          <w:rFonts w:cs="Arial"/>
          <w:color w:val="auto"/>
        </w:rPr>
        <w:t xml:space="preserve">Reasons for the decision </w:t>
      </w:r>
    </w:p>
    <w:p w14:paraId="6FA25ACF" w14:textId="0A7CE91B" w:rsidR="00AE1684" w:rsidRPr="00C55247" w:rsidRDefault="00660624" w:rsidP="00AE1684">
      <w:pPr>
        <w:pStyle w:val="bParagraphtext"/>
        <w:rPr>
          <w:rFonts w:cs="Arial"/>
          <w:color w:val="auto"/>
        </w:rPr>
      </w:pPr>
      <w:r w:rsidRPr="00660624">
        <w:rPr>
          <w:rFonts w:cs="Arial"/>
          <w:color w:val="auto"/>
        </w:rPr>
        <w:t>It is expected that th</w:t>
      </w:r>
      <w:r w:rsidR="00A01C16">
        <w:rPr>
          <w:rFonts w:cs="Arial"/>
          <w:color w:val="auto"/>
        </w:rPr>
        <w:t xml:space="preserve">is decision </w:t>
      </w:r>
      <w:r w:rsidRPr="00660624">
        <w:rPr>
          <w:rFonts w:cs="Arial"/>
          <w:color w:val="auto"/>
        </w:rPr>
        <w:t xml:space="preserve">will have several benefits, such </w:t>
      </w:r>
      <w:r w:rsidR="003A6AC8" w:rsidRPr="00660624">
        <w:rPr>
          <w:rFonts w:cs="Arial"/>
          <w:color w:val="auto"/>
        </w:rPr>
        <w:t>as efficiencies</w:t>
      </w:r>
      <w:r w:rsidRPr="00660624">
        <w:rPr>
          <w:rFonts w:cs="Arial"/>
          <w:color w:val="auto"/>
        </w:rPr>
        <w:t xml:space="preserve"> in process and procedures freeing up capacity in operational teams, provide further assurance on accommodation quality whilst also ensuring compliance with procurement law.</w:t>
      </w:r>
    </w:p>
    <w:p w14:paraId="052FBB38" w14:textId="499CEEC0" w:rsidR="006C7D2E" w:rsidRPr="00C55247" w:rsidRDefault="006C7D2E" w:rsidP="006C7D2E">
      <w:pPr>
        <w:pStyle w:val="Heading1"/>
        <w:rPr>
          <w:rFonts w:cs="Arial"/>
          <w:color w:val="auto"/>
        </w:rPr>
      </w:pPr>
      <w:r w:rsidRPr="00C55247">
        <w:rPr>
          <w:rFonts w:cs="Arial"/>
          <w:color w:val="auto"/>
        </w:rPr>
        <w:lastRenderedPageBreak/>
        <w:t xml:space="preserve">Alternative Options Considered </w:t>
      </w:r>
    </w:p>
    <w:p w14:paraId="6B285B88" w14:textId="44F5345E" w:rsidR="006C7D2E" w:rsidRPr="003A6AC8" w:rsidRDefault="003A6AC8" w:rsidP="003A6AC8">
      <w:pPr>
        <w:pStyle w:val="bParagraphtext"/>
        <w:rPr>
          <w:rFonts w:cs="Arial"/>
          <w:color w:val="auto"/>
        </w:rPr>
      </w:pPr>
      <w:r w:rsidRPr="003A6AC8">
        <w:rPr>
          <w:rFonts w:cs="Arial"/>
          <w:color w:val="auto"/>
        </w:rPr>
        <w:t xml:space="preserve">While demand for Temporary Accommodation remains high and </w:t>
      </w:r>
      <w:r w:rsidR="00F4233C">
        <w:rPr>
          <w:rFonts w:cs="Arial"/>
          <w:color w:val="auto"/>
        </w:rPr>
        <w:t>d</w:t>
      </w:r>
      <w:r w:rsidRPr="003A6AC8">
        <w:rPr>
          <w:rFonts w:cs="Arial"/>
          <w:color w:val="auto"/>
        </w:rPr>
        <w:t>ue to the ongoing volume and cost of hotel use, the Council</w:t>
      </w:r>
      <w:r>
        <w:rPr>
          <w:rFonts w:cs="Arial"/>
          <w:color w:val="auto"/>
        </w:rPr>
        <w:t xml:space="preserve"> </w:t>
      </w:r>
      <w:r w:rsidRPr="003A6AC8">
        <w:rPr>
          <w:rFonts w:cs="Arial"/>
          <w:color w:val="auto"/>
        </w:rPr>
        <w:t>needs to establish a new Emergency Temporary Accommodation Framework to</w:t>
      </w:r>
      <w:r>
        <w:rPr>
          <w:rFonts w:cs="Arial"/>
          <w:color w:val="auto"/>
        </w:rPr>
        <w:t xml:space="preserve"> </w:t>
      </w:r>
      <w:r w:rsidRPr="003A6AC8">
        <w:rPr>
          <w:rFonts w:cs="Arial"/>
          <w:color w:val="auto"/>
        </w:rPr>
        <w:t>enable it to award contracts, in an open, fair and transparent way</w:t>
      </w:r>
      <w:r>
        <w:rPr>
          <w:rFonts w:cs="Arial"/>
          <w:color w:val="auto"/>
        </w:rPr>
        <w:t xml:space="preserve"> </w:t>
      </w:r>
      <w:r w:rsidRPr="003A6AC8">
        <w:rPr>
          <w:rFonts w:cs="Arial"/>
          <w:color w:val="auto"/>
        </w:rPr>
        <w:t>whilst also ensuring compliance with procurement law.</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17209D8D" w:rsidR="009D3627" w:rsidRPr="00660624" w:rsidRDefault="00660624" w:rsidP="00660624">
      <w:pPr>
        <w:pStyle w:val="ListParagraph"/>
        <w:rPr>
          <w:color w:val="auto"/>
        </w:rPr>
      </w:pPr>
      <w:r w:rsidRPr="00660624">
        <w:rPr>
          <w:color w:val="auto"/>
        </w:rPr>
        <w:t>The decisions to be taken under this report relate to procuring a Framework</w:t>
      </w:r>
      <w:r>
        <w:rPr>
          <w:color w:val="auto"/>
        </w:rPr>
        <w:t xml:space="preserve"> </w:t>
      </w:r>
      <w:r w:rsidRPr="00660624">
        <w:rPr>
          <w:color w:val="auto"/>
        </w:rPr>
        <w:t>through which the Council can purchase Emergency Temporary Accommodatio</w:t>
      </w:r>
      <w:r>
        <w:rPr>
          <w:color w:val="auto"/>
        </w:rPr>
        <w:t xml:space="preserve">n </w:t>
      </w:r>
      <w:r w:rsidRPr="00660624">
        <w:rPr>
          <w:color w:val="auto"/>
        </w:rPr>
        <w:t>such as hotel rooms. There is no adverse impact on equalities expected from such</w:t>
      </w:r>
      <w:r>
        <w:rPr>
          <w:color w:val="auto"/>
        </w:rPr>
        <w:t xml:space="preserve"> </w:t>
      </w:r>
      <w:r w:rsidRPr="00660624">
        <w:rPr>
          <w:color w:val="auto"/>
        </w:rPr>
        <w:t>a procurement.</w:t>
      </w:r>
    </w:p>
    <w:p w14:paraId="4062572D" w14:textId="17B7222E" w:rsidR="00A01C16" w:rsidRPr="00A01C16" w:rsidRDefault="009E68E0" w:rsidP="00A01C16">
      <w:pPr>
        <w:pStyle w:val="Heading1"/>
        <w:rPr>
          <w:rFonts w:cs="Arial"/>
          <w:color w:val="auto"/>
        </w:rPr>
      </w:pPr>
      <w:r w:rsidRPr="00C55247">
        <w:rPr>
          <w:rFonts w:cs="Arial"/>
          <w:color w:val="auto"/>
        </w:rPr>
        <w:t xml:space="preserve">Risks </w:t>
      </w:r>
    </w:p>
    <w:p w14:paraId="6CF79BAE" w14:textId="1E55D124" w:rsidR="00F4233C" w:rsidRPr="00A01C16" w:rsidRDefault="003A6AC8" w:rsidP="00A01C16">
      <w:pPr>
        <w:pStyle w:val="ListParagraph"/>
        <w:rPr>
          <w:color w:val="auto"/>
        </w:rPr>
      </w:pPr>
      <w:r w:rsidRPr="003A6AC8">
        <w:rPr>
          <w:color w:val="auto"/>
        </w:rPr>
        <w:t>See Risk Register Attached under Appendix 1.</w:t>
      </w:r>
    </w:p>
    <w:p w14:paraId="433DCD9B" w14:textId="77777777" w:rsidR="00F4233C" w:rsidRDefault="00F4233C" w:rsidP="00630829">
      <w:pPr>
        <w:pStyle w:val="bParagraphtext"/>
        <w:numPr>
          <w:ilvl w:val="0"/>
          <w:numId w:val="0"/>
        </w:numPr>
        <w:rPr>
          <w:b/>
          <w:color w:val="auto"/>
        </w:rPr>
      </w:pPr>
    </w:p>
    <w:p w14:paraId="6A43684D" w14:textId="721C5034" w:rsidR="00630829" w:rsidRPr="00C55247" w:rsidRDefault="00630829" w:rsidP="00630829">
      <w:pPr>
        <w:pStyle w:val="bParagraphtext"/>
        <w:numPr>
          <w:ilvl w:val="0"/>
          <w:numId w:val="0"/>
        </w:numPr>
        <w:rPr>
          <w:color w:val="auto"/>
        </w:rPr>
      </w:pPr>
      <w:r w:rsidRPr="00C55247">
        <w:rPr>
          <w:b/>
          <w:color w:val="auto"/>
        </w:rPr>
        <w:t xml:space="preserve">Carbon and Environmental Considerations </w:t>
      </w:r>
    </w:p>
    <w:p w14:paraId="2454F4E3" w14:textId="4B513C90" w:rsidR="00630829" w:rsidRPr="00A01C16" w:rsidRDefault="00660624" w:rsidP="00A01C16">
      <w:pPr>
        <w:pStyle w:val="bParagraphtext"/>
        <w:rPr>
          <w:color w:val="auto"/>
        </w:rPr>
      </w:pPr>
      <w:r w:rsidRPr="00660624">
        <w:rPr>
          <w:color w:val="auto"/>
        </w:rPr>
        <w:t>There are few environmental considerations arising directly from this report. An</w:t>
      </w:r>
      <w:r>
        <w:rPr>
          <w:color w:val="auto"/>
        </w:rPr>
        <w:t xml:space="preserve">y </w:t>
      </w:r>
      <w:r w:rsidRPr="00660624">
        <w:rPr>
          <w:color w:val="auto"/>
        </w:rPr>
        <w:t xml:space="preserve">property </w:t>
      </w:r>
      <w:r w:rsidR="00A01C16">
        <w:rPr>
          <w:color w:val="auto"/>
        </w:rPr>
        <w:t xml:space="preserve">booking </w:t>
      </w:r>
      <w:r w:rsidRPr="00660624">
        <w:rPr>
          <w:color w:val="auto"/>
        </w:rPr>
        <w:t>purchased for Temporary Accommodation will comply</w:t>
      </w:r>
      <w:r>
        <w:rPr>
          <w:color w:val="auto"/>
        </w:rPr>
        <w:t xml:space="preserve"> </w:t>
      </w:r>
      <w:r w:rsidRPr="00660624">
        <w:rPr>
          <w:color w:val="auto"/>
        </w:rPr>
        <w:t>with the Decent Homes Standard, Housing Health &amp; Safety Rating System</w:t>
      </w:r>
      <w:r>
        <w:rPr>
          <w:color w:val="auto"/>
        </w:rPr>
        <w:t xml:space="preserve"> </w:t>
      </w:r>
      <w:r w:rsidRPr="00660624">
        <w:rPr>
          <w:color w:val="auto"/>
        </w:rPr>
        <w:t xml:space="preserve">(HHSRS) and be complaint with regulatory requirements. </w:t>
      </w:r>
      <w:r w:rsidRPr="00660624">
        <w:rPr>
          <w:color w:val="auto"/>
        </w:rPr>
        <w:cr/>
      </w: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t>Financial implications</w:t>
            </w:r>
          </w:p>
        </w:tc>
        <w:tc>
          <w:tcPr>
            <w:tcW w:w="4379" w:type="dxa"/>
          </w:tcPr>
          <w:p w14:paraId="0696855A" w14:textId="32F9FF9D" w:rsidR="003A6AC8" w:rsidRPr="00C55247" w:rsidRDefault="009038C6" w:rsidP="00A01C16">
            <w:pPr>
              <w:rPr>
                <w:rFonts w:cs="Arial"/>
                <w:color w:val="auto"/>
              </w:rPr>
            </w:pPr>
            <w:r>
              <w:rPr>
                <w:rFonts w:cs="Arial"/>
                <w:color w:val="auto"/>
              </w:rPr>
              <w:t>By</w:t>
            </w:r>
            <w:r w:rsidRPr="009038C6">
              <w:rPr>
                <w:rFonts w:cs="Arial"/>
                <w:color w:val="auto"/>
              </w:rPr>
              <w:t xml:space="preserve"> establishing a framework </w:t>
            </w:r>
            <w:r>
              <w:rPr>
                <w:rFonts w:cs="Arial"/>
                <w:color w:val="auto"/>
              </w:rPr>
              <w:t>o</w:t>
            </w:r>
            <w:r w:rsidRPr="009038C6">
              <w:rPr>
                <w:rFonts w:cs="Arial"/>
                <w:color w:val="auto"/>
              </w:rPr>
              <w:t>f suppliers,</w:t>
            </w:r>
            <w:r>
              <w:rPr>
                <w:rFonts w:cs="Arial"/>
                <w:color w:val="auto"/>
              </w:rPr>
              <w:t xml:space="preserve"> the council</w:t>
            </w:r>
            <w:r w:rsidRPr="009038C6">
              <w:rPr>
                <w:rFonts w:cs="Arial"/>
                <w:color w:val="auto"/>
              </w:rPr>
              <w:t xml:space="preserve"> aims to secure fixed prices and discounts for block bookings, </w:t>
            </w:r>
            <w:r>
              <w:rPr>
                <w:rFonts w:cs="Arial"/>
                <w:color w:val="auto"/>
              </w:rPr>
              <w:t>thereby achieving Value for Money in the provision of emergency TA.</w:t>
            </w:r>
          </w:p>
        </w:tc>
        <w:tc>
          <w:tcPr>
            <w:tcW w:w="3026" w:type="dxa"/>
          </w:tcPr>
          <w:p w14:paraId="57868ECF" w14:textId="7348FA80"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0F1CAD28" w14:textId="51E5E264" w:rsidR="00A01C16" w:rsidRDefault="009038C6" w:rsidP="00C076B9">
            <w:pPr>
              <w:pStyle w:val="Bulletpoints"/>
              <w:numPr>
                <w:ilvl w:val="0"/>
                <w:numId w:val="0"/>
              </w:numPr>
              <w:rPr>
                <w:rFonts w:cs="Arial"/>
                <w:color w:val="auto"/>
              </w:rPr>
            </w:pPr>
            <w:r>
              <w:rPr>
                <w:rFonts w:cs="Arial"/>
                <w:color w:val="auto"/>
              </w:rPr>
              <w:t>Jason Jones</w:t>
            </w:r>
          </w:p>
          <w:p w14:paraId="7DB0BC85" w14:textId="497E58AC"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52645E9B" w:rsidR="001A1BA1" w:rsidRPr="00C55247" w:rsidRDefault="00B13982" w:rsidP="00C076B9">
            <w:pPr>
              <w:pStyle w:val="Bulletpoints"/>
              <w:numPr>
                <w:ilvl w:val="0"/>
                <w:numId w:val="0"/>
              </w:numPr>
              <w:rPr>
                <w:rFonts w:cs="Arial"/>
                <w:color w:val="auto"/>
              </w:rPr>
            </w:pPr>
            <w:r>
              <w:rPr>
                <w:rFonts w:cs="Arial"/>
                <w:color w:val="auto"/>
              </w:rPr>
              <w:t>11</w:t>
            </w:r>
            <w:r w:rsidR="009038C6">
              <w:rPr>
                <w:rFonts w:cs="Arial"/>
                <w:color w:val="auto"/>
              </w:rPr>
              <w:t>/0</w:t>
            </w:r>
            <w:r>
              <w:rPr>
                <w:rFonts w:cs="Arial"/>
                <w:color w:val="auto"/>
              </w:rPr>
              <w:t>8</w:t>
            </w:r>
            <w:r w:rsidR="009038C6">
              <w:rPr>
                <w:rFonts w:cs="Arial"/>
                <w:color w:val="auto"/>
              </w:rPr>
              <w:t>/2025</w:t>
            </w:r>
          </w:p>
        </w:tc>
      </w:tr>
      <w:tr w:rsidR="00367D18" w:rsidRPr="003E4C33" w14:paraId="7D8DECFB" w14:textId="77777777" w:rsidTr="00BD1F7A">
        <w:tc>
          <w:tcPr>
            <w:tcW w:w="1883" w:type="dxa"/>
          </w:tcPr>
          <w:p w14:paraId="1C5F2B75" w14:textId="77777777" w:rsidR="00367D18" w:rsidRPr="003E4C33" w:rsidRDefault="00367D18" w:rsidP="00367D18">
            <w:pPr>
              <w:pStyle w:val="Bulletpoints"/>
              <w:numPr>
                <w:ilvl w:val="0"/>
                <w:numId w:val="0"/>
              </w:numPr>
              <w:rPr>
                <w:rFonts w:cs="Arial"/>
                <w:b/>
              </w:rPr>
            </w:pPr>
            <w:r w:rsidRPr="003E4C33">
              <w:rPr>
                <w:rFonts w:cs="Arial"/>
                <w:b/>
              </w:rPr>
              <w:t xml:space="preserve">Legal implications </w:t>
            </w:r>
          </w:p>
        </w:tc>
        <w:tc>
          <w:tcPr>
            <w:tcW w:w="4379" w:type="dxa"/>
          </w:tcPr>
          <w:p w14:paraId="51B29548" w14:textId="55FC0BDA" w:rsidR="00367D18" w:rsidRDefault="00367D18" w:rsidP="00367D18">
            <w:pPr>
              <w:pStyle w:val="bParagraphtext"/>
              <w:numPr>
                <w:ilvl w:val="0"/>
                <w:numId w:val="0"/>
              </w:numPr>
              <w:tabs>
                <w:tab w:val="left" w:pos="176"/>
              </w:tabs>
              <w:rPr>
                <w:rFonts w:cs="Arial"/>
                <w:color w:val="auto"/>
              </w:rPr>
            </w:pPr>
            <w:r>
              <w:rPr>
                <w:rFonts w:cs="Arial"/>
                <w:color w:val="auto"/>
              </w:rPr>
              <w:t xml:space="preserve">On 10.07.2024, the Cabinet approved </w:t>
            </w:r>
            <w:r w:rsidRPr="00B23CEE">
              <w:rPr>
                <w:rFonts w:cs="Arial"/>
                <w:color w:val="auto"/>
              </w:rPr>
              <w:t>the establishment of a framework for the Procurement of Emergency Temporar</w:t>
            </w:r>
            <w:r>
              <w:rPr>
                <w:rFonts w:cs="Arial"/>
                <w:color w:val="auto"/>
              </w:rPr>
              <w:t xml:space="preserve">y </w:t>
            </w:r>
            <w:r w:rsidRPr="00B23CEE">
              <w:rPr>
                <w:rFonts w:cs="Arial"/>
                <w:color w:val="auto"/>
              </w:rPr>
              <w:t>Accommodation</w:t>
            </w:r>
            <w:r>
              <w:rPr>
                <w:rFonts w:cs="Arial"/>
                <w:color w:val="auto"/>
              </w:rPr>
              <w:t xml:space="preserve"> (“the Framework”)</w:t>
            </w:r>
            <w:r w:rsidR="00395686">
              <w:rPr>
                <w:rFonts w:cs="Arial"/>
                <w:color w:val="auto"/>
              </w:rPr>
              <w:t xml:space="preserve"> </w:t>
            </w:r>
            <w:r w:rsidR="001D2FAE">
              <w:rPr>
                <w:rFonts w:cs="Arial"/>
                <w:color w:val="auto"/>
              </w:rPr>
              <w:t>under</w:t>
            </w:r>
            <w:r w:rsidR="00395686" w:rsidRPr="00B23CEE">
              <w:rPr>
                <w:rFonts w:cs="Arial"/>
                <w:color w:val="auto"/>
              </w:rPr>
              <w:t xml:space="preserve"> the Public Contracts</w:t>
            </w:r>
            <w:r w:rsidR="00395686">
              <w:rPr>
                <w:rFonts w:cs="Arial"/>
                <w:color w:val="auto"/>
              </w:rPr>
              <w:t xml:space="preserve"> </w:t>
            </w:r>
            <w:r w:rsidR="00395686" w:rsidRPr="00B23CEE">
              <w:rPr>
                <w:rFonts w:cs="Arial"/>
                <w:color w:val="auto"/>
              </w:rPr>
              <w:t>Regulations 2015</w:t>
            </w:r>
            <w:r>
              <w:rPr>
                <w:rFonts w:cs="Arial"/>
                <w:color w:val="auto"/>
              </w:rPr>
              <w:t xml:space="preserve">. </w:t>
            </w:r>
            <w:r w:rsidR="00C21953">
              <w:rPr>
                <w:rFonts w:cs="Arial"/>
                <w:color w:val="auto"/>
              </w:rPr>
              <w:t xml:space="preserve">The main body of the report confirms that the Framework has now been competitively procured in full compliance with the Regulations. </w:t>
            </w:r>
          </w:p>
          <w:p w14:paraId="4B15C9A4" w14:textId="7B442358" w:rsidR="00367D18" w:rsidRDefault="00367D18" w:rsidP="00367D18">
            <w:pPr>
              <w:pStyle w:val="bParagraphtext"/>
              <w:numPr>
                <w:ilvl w:val="0"/>
                <w:numId w:val="0"/>
              </w:numPr>
              <w:tabs>
                <w:tab w:val="left" w:pos="176"/>
              </w:tabs>
              <w:rPr>
                <w:rFonts w:cs="Arial"/>
                <w:color w:val="auto"/>
              </w:rPr>
            </w:pPr>
            <w:r>
              <w:rPr>
                <w:rFonts w:cs="Arial"/>
                <w:color w:val="auto"/>
              </w:rPr>
              <w:t>At the same time</w:t>
            </w:r>
            <w:r w:rsidR="00A6026F">
              <w:rPr>
                <w:rFonts w:cs="Arial"/>
                <w:color w:val="auto"/>
              </w:rPr>
              <w:t xml:space="preserve">  </w:t>
            </w:r>
            <w:r w:rsidR="00B459FF">
              <w:rPr>
                <w:rFonts w:cs="Arial"/>
                <w:color w:val="auto"/>
              </w:rPr>
              <w:t>as approving the establishment of the Framework</w:t>
            </w:r>
            <w:r>
              <w:rPr>
                <w:rFonts w:cs="Arial"/>
                <w:color w:val="auto"/>
              </w:rPr>
              <w:t xml:space="preserve">, the Cabinet </w:t>
            </w:r>
            <w:r w:rsidR="00B459FF">
              <w:rPr>
                <w:rFonts w:cs="Arial"/>
                <w:color w:val="auto"/>
              </w:rPr>
              <w:t>provided</w:t>
            </w:r>
            <w:r>
              <w:rPr>
                <w:rFonts w:cs="Arial"/>
                <w:color w:val="auto"/>
              </w:rPr>
              <w:t xml:space="preserve"> delegated power to </w:t>
            </w:r>
            <w:r w:rsidRPr="00AC1730">
              <w:rPr>
                <w:rFonts w:cs="Arial"/>
                <w:color w:val="auto"/>
              </w:rPr>
              <w:t>the Executive Director (Communities and People) to</w:t>
            </w:r>
            <w:r>
              <w:rPr>
                <w:rFonts w:cs="Arial"/>
                <w:color w:val="auto"/>
              </w:rPr>
              <w:t xml:space="preserve"> </w:t>
            </w:r>
            <w:r w:rsidRPr="00AC1730">
              <w:rPr>
                <w:rFonts w:cs="Arial"/>
                <w:color w:val="auto"/>
              </w:rPr>
              <w:t xml:space="preserve">agree the final structure of the Framework and appoint </w:t>
            </w:r>
            <w:r w:rsidRPr="00AC1730">
              <w:rPr>
                <w:rFonts w:cs="Arial"/>
                <w:color w:val="auto"/>
              </w:rPr>
              <w:lastRenderedPageBreak/>
              <w:t>successful suppliers to all lots on the Framework</w:t>
            </w:r>
            <w:r>
              <w:rPr>
                <w:rFonts w:cs="Arial"/>
                <w:color w:val="auto"/>
              </w:rPr>
              <w:t xml:space="preserve">. </w:t>
            </w:r>
          </w:p>
          <w:p w14:paraId="1DE5744B" w14:textId="0579F8C1" w:rsidR="00367D18" w:rsidRDefault="00367D18" w:rsidP="00367D18">
            <w:pPr>
              <w:pStyle w:val="bParagraphtext"/>
              <w:numPr>
                <w:ilvl w:val="0"/>
                <w:numId w:val="0"/>
              </w:numPr>
              <w:tabs>
                <w:tab w:val="left" w:pos="176"/>
              </w:tabs>
              <w:rPr>
                <w:rFonts w:cs="Arial"/>
                <w:color w:val="auto"/>
              </w:rPr>
            </w:pPr>
            <w:r w:rsidRPr="00295DE5">
              <w:rPr>
                <w:rFonts w:cs="Arial"/>
                <w:color w:val="auto"/>
              </w:rPr>
              <w:t xml:space="preserve">The role of the Executive Director (Communities and People) is now subsumed within the role of </w:t>
            </w:r>
            <w:r w:rsidR="00B459FF">
              <w:rPr>
                <w:rFonts w:cs="Arial"/>
                <w:color w:val="auto"/>
              </w:rPr>
              <w:t xml:space="preserve">the </w:t>
            </w:r>
            <w:r w:rsidRPr="00295DE5">
              <w:rPr>
                <w:rFonts w:cs="Arial"/>
                <w:color w:val="auto"/>
              </w:rPr>
              <w:t>Deputy Chief Executive, City and Citizen’s Services</w:t>
            </w:r>
            <w:r>
              <w:rPr>
                <w:rFonts w:cs="Arial"/>
                <w:color w:val="auto"/>
              </w:rPr>
              <w:t xml:space="preserve">, who </w:t>
            </w:r>
            <w:r w:rsidR="00B459FF">
              <w:rPr>
                <w:rFonts w:cs="Arial"/>
                <w:color w:val="auto"/>
              </w:rPr>
              <w:t xml:space="preserve">consequently </w:t>
            </w:r>
            <w:r>
              <w:rPr>
                <w:rFonts w:cs="Arial"/>
                <w:color w:val="auto"/>
              </w:rPr>
              <w:t xml:space="preserve">has the delegated authority to make the decision set out in this Officer Decision Notice. </w:t>
            </w:r>
          </w:p>
          <w:p w14:paraId="06AB2150" w14:textId="300B32B7" w:rsidR="00367D18" w:rsidRDefault="00367D18" w:rsidP="00367D18">
            <w:pPr>
              <w:pStyle w:val="bParagraphtext"/>
              <w:numPr>
                <w:ilvl w:val="0"/>
                <w:numId w:val="0"/>
              </w:numPr>
              <w:tabs>
                <w:tab w:val="left" w:pos="176"/>
              </w:tabs>
              <w:rPr>
                <w:rFonts w:cs="Arial"/>
                <w:color w:val="auto"/>
              </w:rPr>
            </w:pPr>
            <w:r w:rsidRPr="00DA38BC">
              <w:rPr>
                <w:rFonts w:cs="Arial"/>
                <w:color w:val="auto"/>
              </w:rPr>
              <w:t>The Deputy Chief Executive – City and Citizens’ Services</w:t>
            </w:r>
            <w:r>
              <w:rPr>
                <w:rFonts w:cs="Arial"/>
                <w:color w:val="auto"/>
              </w:rPr>
              <w:t xml:space="preserve"> is now being recommended to make a decision</w:t>
            </w:r>
            <w:r w:rsidR="00BF47DD">
              <w:rPr>
                <w:rFonts w:cs="Arial"/>
                <w:color w:val="auto"/>
              </w:rPr>
              <w:t>, based on the Cabinet delegation,</w:t>
            </w:r>
            <w:r>
              <w:rPr>
                <w:rFonts w:cs="Arial"/>
                <w:color w:val="auto"/>
              </w:rPr>
              <w:t xml:space="preserve"> to appoint the successful suppliers to the relevant Lots of the Framework, through the City Council entering into individual Framework Agreements with each of the successful suppliers. </w:t>
            </w:r>
          </w:p>
          <w:p w14:paraId="11BAD199" w14:textId="51B0E4C2" w:rsidR="00367D18" w:rsidRPr="00C55247" w:rsidRDefault="00367D18" w:rsidP="00367D18">
            <w:pPr>
              <w:pStyle w:val="bParagraphtext"/>
              <w:numPr>
                <w:ilvl w:val="0"/>
                <w:numId w:val="0"/>
              </w:numPr>
              <w:tabs>
                <w:tab w:val="clear" w:pos="426"/>
                <w:tab w:val="left" w:pos="176"/>
              </w:tabs>
              <w:rPr>
                <w:rFonts w:cs="Arial"/>
                <w:color w:val="auto"/>
              </w:rPr>
            </w:pPr>
            <w:r>
              <w:rPr>
                <w:rFonts w:cs="Arial"/>
                <w:color w:val="auto"/>
              </w:rPr>
              <w:t xml:space="preserve">Forms of Framework Agreements have been drafted and approved by legal services. </w:t>
            </w:r>
          </w:p>
        </w:tc>
        <w:tc>
          <w:tcPr>
            <w:tcW w:w="3026" w:type="dxa"/>
          </w:tcPr>
          <w:p w14:paraId="47079A0C" w14:textId="77777777" w:rsidR="00367D18" w:rsidRPr="00C55247" w:rsidRDefault="00367D18" w:rsidP="00367D18">
            <w:pPr>
              <w:pStyle w:val="Bulletpoints"/>
              <w:numPr>
                <w:ilvl w:val="0"/>
                <w:numId w:val="0"/>
              </w:numPr>
              <w:rPr>
                <w:rFonts w:cs="Arial"/>
                <w:b/>
                <w:color w:val="auto"/>
              </w:rPr>
            </w:pPr>
            <w:r w:rsidRPr="00C55247">
              <w:rPr>
                <w:rFonts w:cs="Arial"/>
                <w:b/>
                <w:color w:val="auto"/>
              </w:rPr>
              <w:lastRenderedPageBreak/>
              <w:t>Completed by:</w:t>
            </w:r>
          </w:p>
          <w:p w14:paraId="09AD926F" w14:textId="0D086FE5" w:rsidR="00367D18" w:rsidRPr="00C55247" w:rsidRDefault="00B13982" w:rsidP="00367D18">
            <w:pPr>
              <w:pStyle w:val="Bulletpoints"/>
              <w:numPr>
                <w:ilvl w:val="0"/>
                <w:numId w:val="0"/>
              </w:numPr>
              <w:rPr>
                <w:rFonts w:cs="Arial"/>
                <w:color w:val="auto"/>
              </w:rPr>
            </w:pPr>
            <w:r>
              <w:rPr>
                <w:rFonts w:cs="Arial"/>
                <w:color w:val="auto"/>
              </w:rPr>
              <w:t>Joanna Williams</w:t>
            </w:r>
          </w:p>
          <w:p w14:paraId="62D75828" w14:textId="77777777" w:rsidR="00367D18" w:rsidRPr="00C55247" w:rsidRDefault="00367D18" w:rsidP="00367D18">
            <w:pPr>
              <w:pStyle w:val="Bulletpoints"/>
              <w:numPr>
                <w:ilvl w:val="0"/>
                <w:numId w:val="0"/>
              </w:numPr>
              <w:rPr>
                <w:rFonts w:cs="Arial"/>
                <w:b/>
                <w:color w:val="auto"/>
              </w:rPr>
            </w:pPr>
            <w:r w:rsidRPr="00C55247">
              <w:rPr>
                <w:rFonts w:cs="Arial"/>
                <w:b/>
                <w:color w:val="auto"/>
              </w:rPr>
              <w:t>Date:</w:t>
            </w:r>
          </w:p>
          <w:p w14:paraId="7A5DDA55" w14:textId="04973354" w:rsidR="00367D18" w:rsidRPr="00C55247" w:rsidRDefault="00367D18" w:rsidP="00367D18">
            <w:pPr>
              <w:pStyle w:val="Bulletpoints"/>
              <w:numPr>
                <w:ilvl w:val="0"/>
                <w:numId w:val="0"/>
              </w:numPr>
              <w:rPr>
                <w:rFonts w:cs="Arial"/>
                <w:color w:val="auto"/>
              </w:rPr>
            </w:pPr>
            <w:r>
              <w:rPr>
                <w:rFonts w:cs="Arial"/>
                <w:color w:val="auto"/>
              </w:rPr>
              <w:t>2</w:t>
            </w:r>
            <w:r w:rsidR="00B13982">
              <w:rPr>
                <w:rFonts w:cs="Arial"/>
                <w:color w:val="auto"/>
              </w:rPr>
              <w:t>3</w:t>
            </w:r>
            <w:r>
              <w:rPr>
                <w:rFonts w:cs="Arial"/>
                <w:color w:val="auto"/>
              </w:rPr>
              <w:t>/0</w:t>
            </w:r>
            <w:r w:rsidR="00B13982">
              <w:rPr>
                <w:rFonts w:cs="Arial"/>
                <w:color w:val="auto"/>
              </w:rPr>
              <w:t>7</w:t>
            </w:r>
            <w:r>
              <w:rPr>
                <w:rFonts w:cs="Arial"/>
                <w:color w:val="auto"/>
              </w:rPr>
              <w:t>/2025</w:t>
            </w:r>
          </w:p>
        </w:tc>
      </w:tr>
      <w:tr w:rsidR="00367D18" w:rsidRPr="003E4C33" w14:paraId="6F38FEBF" w14:textId="77777777" w:rsidTr="00BD1F7A">
        <w:tc>
          <w:tcPr>
            <w:tcW w:w="1883" w:type="dxa"/>
          </w:tcPr>
          <w:p w14:paraId="48C94DFF" w14:textId="77777777" w:rsidR="00367D18" w:rsidRPr="003E4C33" w:rsidRDefault="00367D18" w:rsidP="00367D18">
            <w:pPr>
              <w:pStyle w:val="Bulletpoints"/>
              <w:numPr>
                <w:ilvl w:val="0"/>
                <w:numId w:val="0"/>
              </w:numPr>
              <w:rPr>
                <w:rFonts w:cs="Arial"/>
                <w:b/>
              </w:rPr>
            </w:pPr>
            <w:r w:rsidRPr="003E4C33">
              <w:rPr>
                <w:rFonts w:cs="Arial"/>
                <w:b/>
              </w:rPr>
              <w:t>Other implications</w:t>
            </w:r>
          </w:p>
        </w:tc>
        <w:tc>
          <w:tcPr>
            <w:tcW w:w="4379" w:type="dxa"/>
          </w:tcPr>
          <w:p w14:paraId="6DC2105E" w14:textId="2F969123" w:rsidR="00367D18" w:rsidRPr="00C55247" w:rsidRDefault="00367D18" w:rsidP="00367D18">
            <w:pPr>
              <w:pStyle w:val="bParagraphtext"/>
              <w:numPr>
                <w:ilvl w:val="0"/>
                <w:numId w:val="0"/>
              </w:numPr>
              <w:rPr>
                <w:rFonts w:cs="Arial"/>
                <w:color w:val="auto"/>
              </w:rPr>
            </w:pPr>
            <w:r>
              <w:rPr>
                <w:rFonts w:cs="Arial"/>
                <w:color w:val="auto"/>
              </w:rPr>
              <w:t xml:space="preserve">No other implications </w:t>
            </w:r>
          </w:p>
        </w:tc>
        <w:tc>
          <w:tcPr>
            <w:tcW w:w="3026" w:type="dxa"/>
          </w:tcPr>
          <w:p w14:paraId="48FAD318" w14:textId="77777777" w:rsidR="00367D18" w:rsidRPr="00C55247" w:rsidRDefault="00367D18" w:rsidP="00367D18">
            <w:pPr>
              <w:pStyle w:val="Bulletpoints"/>
              <w:numPr>
                <w:ilvl w:val="0"/>
                <w:numId w:val="0"/>
              </w:numPr>
              <w:rPr>
                <w:rFonts w:cs="Arial"/>
                <w:b/>
                <w:color w:val="auto"/>
              </w:rPr>
            </w:pPr>
            <w:r w:rsidRPr="00C55247">
              <w:rPr>
                <w:rFonts w:cs="Arial"/>
                <w:b/>
                <w:color w:val="auto"/>
              </w:rPr>
              <w:t>Completed by:</w:t>
            </w:r>
          </w:p>
          <w:p w14:paraId="59811DC1" w14:textId="031F2F0A" w:rsidR="00367D18" w:rsidRPr="00C55247" w:rsidRDefault="00367D18" w:rsidP="00367D18">
            <w:pPr>
              <w:pStyle w:val="Bulletpoints"/>
              <w:numPr>
                <w:ilvl w:val="0"/>
                <w:numId w:val="0"/>
              </w:numPr>
              <w:rPr>
                <w:rFonts w:cs="Arial"/>
                <w:color w:val="auto"/>
              </w:rPr>
            </w:pPr>
            <w:r>
              <w:rPr>
                <w:rFonts w:cs="Arial"/>
                <w:color w:val="auto"/>
              </w:rPr>
              <w:t xml:space="preserve">Kieran Edmunds, Rapid Rehousing Manager, Housing Services </w:t>
            </w:r>
          </w:p>
          <w:p w14:paraId="495F4D61" w14:textId="77777777" w:rsidR="00367D18" w:rsidRPr="00C55247" w:rsidRDefault="00367D18" w:rsidP="00367D18">
            <w:pPr>
              <w:pStyle w:val="Bulletpoints"/>
              <w:numPr>
                <w:ilvl w:val="0"/>
                <w:numId w:val="0"/>
              </w:numPr>
              <w:rPr>
                <w:rFonts w:cs="Arial"/>
                <w:b/>
                <w:color w:val="auto"/>
              </w:rPr>
            </w:pPr>
            <w:r w:rsidRPr="00C55247">
              <w:rPr>
                <w:rFonts w:cs="Arial"/>
                <w:b/>
                <w:color w:val="auto"/>
              </w:rPr>
              <w:t>Date:</w:t>
            </w:r>
          </w:p>
          <w:p w14:paraId="68285B07" w14:textId="35632E77" w:rsidR="00367D18" w:rsidRPr="00C55247" w:rsidRDefault="00DF2116" w:rsidP="00367D18">
            <w:pPr>
              <w:pStyle w:val="Bulletpoints"/>
              <w:numPr>
                <w:ilvl w:val="0"/>
                <w:numId w:val="0"/>
              </w:numPr>
              <w:rPr>
                <w:rFonts w:cs="Arial"/>
                <w:color w:val="auto"/>
              </w:rPr>
            </w:pPr>
            <w:r>
              <w:rPr>
                <w:rFonts w:cs="Arial"/>
                <w:color w:val="auto"/>
              </w:rPr>
              <w:t>08/05/2025</w:t>
            </w:r>
          </w:p>
        </w:tc>
      </w:tr>
      <w:tr w:rsidR="00367D18" w:rsidRPr="003E4C33" w14:paraId="2C18B277" w14:textId="77777777" w:rsidTr="00BD1F7A">
        <w:tc>
          <w:tcPr>
            <w:tcW w:w="1883" w:type="dxa"/>
          </w:tcPr>
          <w:p w14:paraId="4EB49136" w14:textId="6AAF52DF" w:rsidR="00367D18" w:rsidRPr="003E4C33" w:rsidRDefault="00367D18" w:rsidP="00367D18">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671266FF" w:rsidR="00367D18" w:rsidRPr="00C55247" w:rsidRDefault="00367D18" w:rsidP="00367D18">
            <w:pPr>
              <w:pStyle w:val="bParagraphtext"/>
              <w:numPr>
                <w:ilvl w:val="0"/>
                <w:numId w:val="0"/>
              </w:numPr>
              <w:rPr>
                <w:rFonts w:cs="Arial"/>
                <w:color w:val="auto"/>
              </w:rPr>
            </w:pPr>
            <w:r>
              <w:rPr>
                <w:rFonts w:cs="Arial"/>
                <w:color w:val="auto"/>
              </w:rPr>
              <w:t xml:space="preserve">No interests declared </w:t>
            </w:r>
          </w:p>
        </w:tc>
        <w:tc>
          <w:tcPr>
            <w:tcW w:w="3026" w:type="dxa"/>
          </w:tcPr>
          <w:p w14:paraId="7424BC62" w14:textId="77777777" w:rsidR="00367D18" w:rsidRPr="00C55247" w:rsidRDefault="00367D18" w:rsidP="00367D18">
            <w:pPr>
              <w:pStyle w:val="Bulletpoints"/>
              <w:numPr>
                <w:ilvl w:val="0"/>
                <w:numId w:val="0"/>
              </w:numPr>
              <w:rPr>
                <w:rFonts w:cs="Arial"/>
                <w:b/>
                <w:color w:val="auto"/>
              </w:rPr>
            </w:pPr>
            <w:r w:rsidRPr="00C55247">
              <w:rPr>
                <w:rFonts w:cs="Arial"/>
                <w:b/>
                <w:color w:val="auto"/>
              </w:rPr>
              <w:t>Completed by:</w:t>
            </w:r>
          </w:p>
          <w:p w14:paraId="266A430D" w14:textId="77777777" w:rsidR="00367D18" w:rsidRPr="00C55247" w:rsidRDefault="00367D18" w:rsidP="00367D18">
            <w:pPr>
              <w:pStyle w:val="Bulletpoints"/>
              <w:numPr>
                <w:ilvl w:val="0"/>
                <w:numId w:val="0"/>
              </w:numPr>
              <w:rPr>
                <w:rFonts w:cs="Arial"/>
                <w:color w:val="auto"/>
              </w:rPr>
            </w:pPr>
            <w:r>
              <w:rPr>
                <w:rFonts w:cs="Arial"/>
                <w:color w:val="auto"/>
              </w:rPr>
              <w:t xml:space="preserve">Kieran Edmunds, Rapid Rehousing Manager, Housing Services </w:t>
            </w:r>
          </w:p>
          <w:p w14:paraId="22A72D4B" w14:textId="709C5588" w:rsidR="00367D18" w:rsidRPr="00C55247" w:rsidRDefault="00367D18" w:rsidP="00367D18">
            <w:pPr>
              <w:pStyle w:val="Bulletpoints"/>
              <w:numPr>
                <w:ilvl w:val="0"/>
                <w:numId w:val="0"/>
              </w:numPr>
              <w:rPr>
                <w:rFonts w:cs="Arial"/>
                <w:b/>
                <w:color w:val="auto"/>
              </w:rPr>
            </w:pPr>
            <w:r w:rsidRPr="00C55247">
              <w:rPr>
                <w:rFonts w:cs="Arial"/>
                <w:b/>
                <w:color w:val="auto"/>
              </w:rPr>
              <w:t>Date:</w:t>
            </w:r>
          </w:p>
          <w:p w14:paraId="5918EBBE" w14:textId="0E82B5BF" w:rsidR="00367D18" w:rsidRPr="00DF2116" w:rsidRDefault="00DF2116" w:rsidP="00367D18">
            <w:pPr>
              <w:pStyle w:val="Bulletpoints"/>
              <w:numPr>
                <w:ilvl w:val="0"/>
                <w:numId w:val="0"/>
              </w:numPr>
              <w:rPr>
                <w:rFonts w:cs="Arial"/>
                <w:bCs/>
                <w:color w:val="auto"/>
              </w:rPr>
            </w:pPr>
            <w:r w:rsidRPr="00DF2116">
              <w:rPr>
                <w:rFonts w:cs="Arial"/>
                <w:bCs/>
                <w:color w:val="auto"/>
              </w:rPr>
              <w:t>08/05/2025</w:t>
            </w:r>
          </w:p>
        </w:tc>
      </w:tr>
    </w:tbl>
    <w:p w14:paraId="7891D21B" w14:textId="78C294AB" w:rsidR="00FB3B71" w:rsidRPr="003E4C33" w:rsidRDefault="00FB3B71" w:rsidP="0011641F">
      <w:pPr>
        <w:pStyle w:val="bParagraphtext"/>
        <w:numPr>
          <w:ilvl w:val="0"/>
          <w:numId w:val="0"/>
        </w:numPr>
        <w:rPr>
          <w:rFonts w:cs="Arial"/>
          <w:b/>
        </w:rPr>
      </w:pPr>
    </w:p>
    <w:p w14:paraId="5BCE4DEB" w14:textId="02514305" w:rsidR="006C767F" w:rsidRPr="003E4C33" w:rsidRDefault="006C767F" w:rsidP="0011641F">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2FEAE620" w:rsidR="006C767F" w:rsidRPr="003E4C33" w:rsidRDefault="006C767F" w:rsidP="003A6AC8">
            <w:pPr>
              <w:rPr>
                <w:rFonts w:cs="Arial"/>
              </w:rPr>
            </w:pPr>
            <w:r w:rsidRPr="003E4C33">
              <w:rPr>
                <w:rStyle w:val="Firstpagetablebold"/>
                <w:rFonts w:cs="Arial"/>
              </w:rPr>
              <w:t>Background Documents</w:t>
            </w:r>
            <w:r w:rsidR="003A6AC8">
              <w:rPr>
                <w:rStyle w:val="Firstpagetablebold"/>
                <w:rFonts w:cs="Arial"/>
              </w:rPr>
              <w:t xml:space="preserve">: </w:t>
            </w:r>
            <w:r w:rsidR="003A6AC8" w:rsidRPr="003A6AC8">
              <w:rPr>
                <w:rStyle w:val="Firstpagetablebold"/>
                <w:rFonts w:cs="Arial"/>
                <w:b w:val="0"/>
                <w:bCs/>
              </w:rPr>
              <w:t>None</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tcPr>
          <w:p w14:paraId="10A18498" w14:textId="7401FAF6" w:rsidR="00E87F7A" w:rsidRPr="003E4C33" w:rsidRDefault="00660624" w:rsidP="00A46E98">
            <w:pPr>
              <w:rPr>
                <w:rFonts w:cs="Arial"/>
              </w:rPr>
            </w:pPr>
            <w:r>
              <w:rPr>
                <w:rFonts w:cs="Arial"/>
              </w:rPr>
              <w:t xml:space="preserve">Kieran Edmunds </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tcPr>
          <w:p w14:paraId="4290E9E4" w14:textId="0CDB266E" w:rsidR="00E87F7A" w:rsidRPr="00C55247" w:rsidRDefault="00660624" w:rsidP="00A46E98">
            <w:pPr>
              <w:rPr>
                <w:rFonts w:cs="Arial"/>
                <w:color w:val="auto"/>
              </w:rPr>
            </w:pPr>
            <w:r>
              <w:rPr>
                <w:rFonts w:cs="Arial"/>
                <w:color w:val="auto"/>
              </w:rPr>
              <w:t>Rapid Rehousing Manager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lastRenderedPageBreak/>
              <w:t>Service area or department</w:t>
            </w:r>
          </w:p>
        </w:tc>
        <w:tc>
          <w:tcPr>
            <w:tcW w:w="4962" w:type="dxa"/>
            <w:tcBorders>
              <w:top w:val="nil"/>
              <w:left w:val="nil"/>
              <w:bottom w:val="nil"/>
              <w:right w:val="single" w:sz="8" w:space="0" w:color="000000"/>
            </w:tcBorders>
          </w:tcPr>
          <w:p w14:paraId="64678455" w14:textId="2AF7EB08" w:rsidR="00E87F7A" w:rsidRPr="00C55247" w:rsidRDefault="00660624" w:rsidP="00A46E98">
            <w:pPr>
              <w:rPr>
                <w:rFonts w:cs="Arial"/>
                <w:color w:val="auto"/>
              </w:rPr>
            </w:pPr>
            <w:r>
              <w:rPr>
                <w:rFonts w:cs="Arial"/>
                <w:color w:val="auto"/>
              </w:rPr>
              <w:t xml:space="preserve">Housing Services </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tcPr>
          <w:p w14:paraId="217B4852" w14:textId="4E3A19C0" w:rsidR="00E87F7A" w:rsidRPr="00C55247" w:rsidRDefault="00660624" w:rsidP="00A46E98">
            <w:pPr>
              <w:rPr>
                <w:rStyle w:val="Hyperlink"/>
                <w:rFonts w:cs="Arial"/>
                <w:color w:val="auto"/>
              </w:rPr>
            </w:pPr>
            <w:hyperlink r:id="rId12" w:history="1">
              <w:r w:rsidRPr="005F32A1">
                <w:rPr>
                  <w:rStyle w:val="Hyperlink"/>
                  <w:rFonts w:cs="Arial"/>
                </w:rPr>
                <w:t>kedmunds@oxford.gov.uk</w:t>
              </w:r>
            </w:hyperlink>
            <w:r>
              <w:rPr>
                <w:rStyle w:val="Hyperlink"/>
                <w:rFonts w:cs="Arial"/>
                <w:color w:val="auto"/>
              </w:rPr>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6"/>
        <w:gridCol w:w="1417"/>
      </w:tblGrid>
      <w:tr w:rsidR="001A1BA1" w:rsidRPr="003E4C33" w14:paraId="55292CC4" w14:textId="77777777" w:rsidTr="6705CB2F">
        <w:trPr>
          <w:trHeight w:val="516"/>
        </w:trPr>
        <w:tc>
          <w:tcPr>
            <w:tcW w:w="3119" w:type="dxa"/>
          </w:tcPr>
          <w:p w14:paraId="423E2C51" w14:textId="77777777" w:rsidR="001A1BA1" w:rsidRPr="003E4C33" w:rsidRDefault="001A1BA1" w:rsidP="0011641F">
            <w:pPr>
              <w:spacing w:before="120"/>
              <w:rPr>
                <w:b/>
                <w:i/>
              </w:rPr>
            </w:pPr>
            <w:r w:rsidRPr="003E4C33">
              <w:rPr>
                <w:b/>
                <w:i/>
              </w:rPr>
              <w:t>Consultees</w:t>
            </w:r>
          </w:p>
        </w:tc>
        <w:tc>
          <w:tcPr>
            <w:tcW w:w="4536" w:type="dxa"/>
            <w:vAlign w:val="center"/>
          </w:tcPr>
          <w:p w14:paraId="66370075" w14:textId="1673F76E" w:rsidR="001A1BA1" w:rsidRPr="003E4C33" w:rsidRDefault="001A1BA1" w:rsidP="0011641F">
            <w:pPr>
              <w:rPr>
                <w:b/>
                <w:i/>
              </w:rPr>
            </w:pPr>
          </w:p>
        </w:tc>
        <w:tc>
          <w:tcPr>
            <w:tcW w:w="1417" w:type="dxa"/>
            <w:vAlign w:val="center"/>
          </w:tcPr>
          <w:p w14:paraId="67196AF5" w14:textId="77777777" w:rsidR="001A1BA1" w:rsidRPr="003E4C33" w:rsidRDefault="001A1BA1" w:rsidP="0011641F">
            <w:pPr>
              <w:rPr>
                <w:b/>
                <w:i/>
              </w:rPr>
            </w:pPr>
            <w:r w:rsidRPr="003E4C33">
              <w:rPr>
                <w:b/>
                <w:i/>
              </w:rPr>
              <w:t xml:space="preserve">Date </w:t>
            </w:r>
          </w:p>
        </w:tc>
      </w:tr>
      <w:tr w:rsidR="001A1BA1" w:rsidRPr="003E4C33" w14:paraId="5F3F749A" w14:textId="77777777" w:rsidTr="6705CB2F">
        <w:trPr>
          <w:trHeight w:val="516"/>
        </w:trPr>
        <w:tc>
          <w:tcPr>
            <w:tcW w:w="3119" w:type="dxa"/>
            <w:vAlign w:val="center"/>
          </w:tcPr>
          <w:p w14:paraId="27A74D65" w14:textId="77777777" w:rsidR="001A1BA1" w:rsidRPr="003E4C33" w:rsidRDefault="001A1BA1" w:rsidP="0011641F">
            <w:pPr>
              <w:spacing w:before="120"/>
              <w:rPr>
                <w:b/>
              </w:rPr>
            </w:pPr>
            <w:r w:rsidRPr="003E4C33">
              <w:rPr>
                <w:b/>
              </w:rPr>
              <w:t>Senior officer</w:t>
            </w:r>
          </w:p>
          <w:p w14:paraId="5850EEA3" w14:textId="6D1B9BFF" w:rsidR="001A1BA1" w:rsidRPr="003E4C33" w:rsidRDefault="001A1BA1" w:rsidP="0011641F">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536" w:type="dxa"/>
            <w:vAlign w:val="center"/>
          </w:tcPr>
          <w:p w14:paraId="2C98ABDE" w14:textId="038AAC4A" w:rsidR="001A1BA1" w:rsidRPr="003E6C36" w:rsidRDefault="001A1BA1" w:rsidP="0011641F">
            <w:pPr>
              <w:rPr>
                <w:color w:val="auto"/>
              </w:rPr>
            </w:pPr>
          </w:p>
          <w:p w14:paraId="33DFBFFA" w14:textId="7A0051BF" w:rsidR="003E6C36" w:rsidRPr="003E6C36" w:rsidRDefault="003E6C36" w:rsidP="0011641F">
            <w:pPr>
              <w:rPr>
                <w:color w:val="auto"/>
              </w:rPr>
            </w:pPr>
          </w:p>
        </w:tc>
        <w:tc>
          <w:tcPr>
            <w:tcW w:w="1417" w:type="dxa"/>
            <w:vAlign w:val="center"/>
          </w:tcPr>
          <w:p w14:paraId="29D4AEB7" w14:textId="650B74BF" w:rsidR="001A1BA1" w:rsidRPr="003E4C33" w:rsidRDefault="001A1BA1" w:rsidP="0011641F"/>
        </w:tc>
      </w:tr>
      <w:tr w:rsidR="001A1BA1" w:rsidRPr="003E4C33" w14:paraId="5B08396D" w14:textId="77777777" w:rsidTr="6705CB2F">
        <w:trPr>
          <w:trHeight w:val="1161"/>
        </w:trPr>
        <w:tc>
          <w:tcPr>
            <w:tcW w:w="3119" w:type="dxa"/>
          </w:tcPr>
          <w:p w14:paraId="206914C9" w14:textId="2326EACD" w:rsidR="001A1BA1" w:rsidRPr="003E4C33" w:rsidRDefault="003415B8" w:rsidP="0011641F">
            <w:pPr>
              <w:spacing w:before="120"/>
              <w:rPr>
                <w:b/>
              </w:rPr>
            </w:pPr>
            <w:r>
              <w:rPr>
                <w:b/>
              </w:rPr>
              <w:t>Group Finance Director</w:t>
            </w:r>
          </w:p>
          <w:p w14:paraId="7A4F1884" w14:textId="76E91C55" w:rsidR="001A1BA1" w:rsidRPr="003E4C33" w:rsidRDefault="42DDDBA8" w:rsidP="0011641F">
            <w:pPr>
              <w:spacing w:before="120"/>
            </w:pPr>
            <w:r w:rsidRPr="003E4C33">
              <w:t>Where required</w:t>
            </w:r>
            <w:r w:rsidR="0AFF6EB2" w:rsidRPr="003E4C33">
              <w:t xml:space="preserve"> by the Constitution or conditions of the delegation</w:t>
            </w:r>
          </w:p>
        </w:tc>
        <w:tc>
          <w:tcPr>
            <w:tcW w:w="4536" w:type="dxa"/>
            <w:vAlign w:val="center"/>
          </w:tcPr>
          <w:p w14:paraId="597E8E8A" w14:textId="794CF56F" w:rsidR="001A1BA1" w:rsidRDefault="001A1BA1" w:rsidP="0011641F"/>
          <w:p w14:paraId="476C7451" w14:textId="187096A4" w:rsidR="003415B8" w:rsidRPr="003E4C33" w:rsidRDefault="003415B8" w:rsidP="0011641F"/>
        </w:tc>
        <w:tc>
          <w:tcPr>
            <w:tcW w:w="1417" w:type="dxa"/>
            <w:vAlign w:val="center"/>
          </w:tcPr>
          <w:p w14:paraId="26B724B7" w14:textId="324FDA09" w:rsidR="001A1BA1" w:rsidRPr="003E4C33" w:rsidRDefault="001A1BA1" w:rsidP="0011641F"/>
        </w:tc>
      </w:tr>
      <w:tr w:rsidR="001A1BA1" w:rsidRPr="003E4C33" w14:paraId="54CB0EFE" w14:textId="77777777" w:rsidTr="6705CB2F">
        <w:trPr>
          <w:trHeight w:val="834"/>
        </w:trPr>
        <w:tc>
          <w:tcPr>
            <w:tcW w:w="3119" w:type="dxa"/>
          </w:tcPr>
          <w:p w14:paraId="658FE63C" w14:textId="77777777" w:rsidR="001A1BA1" w:rsidRPr="003E4C33" w:rsidRDefault="001A1BA1" w:rsidP="0011641F">
            <w:pPr>
              <w:spacing w:before="120"/>
              <w:rPr>
                <w:b/>
              </w:rPr>
            </w:pPr>
            <w:r w:rsidRPr="003E4C33">
              <w:rPr>
                <w:b/>
              </w:rPr>
              <w:t xml:space="preserve">Head of Law and Governance </w:t>
            </w:r>
          </w:p>
          <w:p w14:paraId="5C806B41" w14:textId="50B1676F" w:rsidR="001A1BA1" w:rsidRPr="003E4C33" w:rsidRDefault="42DDDBA8" w:rsidP="0011641F">
            <w:pPr>
              <w:spacing w:before="120"/>
            </w:pPr>
            <w:r w:rsidRPr="003E4C33">
              <w:t>Where required</w:t>
            </w:r>
            <w:r w:rsidR="00B6369C" w:rsidRPr="003E4C33">
              <w:t xml:space="preserve"> by the Constitution or conditions of the delegation</w:t>
            </w:r>
          </w:p>
        </w:tc>
        <w:tc>
          <w:tcPr>
            <w:tcW w:w="4536" w:type="dxa"/>
            <w:vAlign w:val="center"/>
          </w:tcPr>
          <w:p w14:paraId="789C0CC7" w14:textId="3C6C578C" w:rsidR="007D191C" w:rsidRDefault="007D191C" w:rsidP="007D191C"/>
          <w:p w14:paraId="459F8630" w14:textId="77777777" w:rsidR="001A1BA1" w:rsidRPr="003E4C33" w:rsidRDefault="001A1BA1" w:rsidP="00AB44FE"/>
        </w:tc>
        <w:tc>
          <w:tcPr>
            <w:tcW w:w="1417" w:type="dxa"/>
          </w:tcPr>
          <w:p w14:paraId="7F5B7AEE" w14:textId="77777777" w:rsidR="001A1BA1" w:rsidRDefault="001A1BA1" w:rsidP="0011641F"/>
          <w:p w14:paraId="4239FFFC" w14:textId="77777777" w:rsidR="007D191C" w:rsidRDefault="007D191C" w:rsidP="0011641F"/>
          <w:p w14:paraId="13EBB6A8" w14:textId="23676C41" w:rsidR="007D191C" w:rsidRPr="003E4C33" w:rsidRDefault="007D191C" w:rsidP="0011641F"/>
        </w:tc>
      </w:tr>
      <w:tr w:rsidR="001A1BA1" w:rsidRPr="003E4C33" w14:paraId="266E8AC6" w14:textId="77777777" w:rsidTr="6705CB2F">
        <w:trPr>
          <w:trHeight w:val="562"/>
        </w:trPr>
        <w:tc>
          <w:tcPr>
            <w:tcW w:w="3119" w:type="dxa"/>
            <w:vAlign w:val="center"/>
          </w:tcPr>
          <w:p w14:paraId="0D0AF673" w14:textId="77777777" w:rsidR="001A1BA1" w:rsidRPr="003E4C33" w:rsidRDefault="001A1BA1" w:rsidP="0011641F">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47B4B0BF" w14:textId="77777777" w:rsidR="001A1BA1" w:rsidRPr="003E4C33" w:rsidRDefault="001A1BA1" w:rsidP="0011641F"/>
        </w:tc>
        <w:tc>
          <w:tcPr>
            <w:tcW w:w="1417" w:type="dxa"/>
            <w:vAlign w:val="center"/>
          </w:tcPr>
          <w:p w14:paraId="79ED7A02" w14:textId="77777777" w:rsidR="001A1BA1" w:rsidRPr="003E4C33" w:rsidRDefault="001A1BA1" w:rsidP="0011641F"/>
        </w:tc>
      </w:tr>
      <w:tr w:rsidR="001A1BA1" w:rsidRPr="003E4C33" w14:paraId="789A1406" w14:textId="77777777" w:rsidTr="6705CB2F">
        <w:trPr>
          <w:trHeight w:val="562"/>
        </w:trPr>
        <w:tc>
          <w:tcPr>
            <w:tcW w:w="3119" w:type="dxa"/>
            <w:vAlign w:val="center"/>
          </w:tcPr>
          <w:p w14:paraId="79CEA511" w14:textId="77777777" w:rsidR="001A1BA1" w:rsidRPr="003E4C33" w:rsidRDefault="001A1BA1" w:rsidP="0011641F">
            <w:pPr>
              <w:spacing w:before="120"/>
              <w:rPr>
                <w:b/>
              </w:rPr>
            </w:pPr>
            <w:r w:rsidRPr="003E4C33">
              <w:rPr>
                <w:b/>
              </w:rPr>
              <w:t>Ward Members</w:t>
            </w:r>
          </w:p>
          <w:p w14:paraId="079F86E6" w14:textId="03792320" w:rsidR="001A1BA1" w:rsidRPr="003E4C33" w:rsidRDefault="42DDDBA8" w:rsidP="0011641F">
            <w:pPr>
              <w:spacing w:before="120"/>
            </w:pPr>
            <w:r w:rsidRPr="003E4C33">
              <w:t>Where required</w:t>
            </w:r>
            <w:r w:rsidR="2187760D" w:rsidRPr="003E4C33">
              <w:t xml:space="preserve"> by the Constitution or conditions of the delegation</w:t>
            </w:r>
          </w:p>
        </w:tc>
        <w:tc>
          <w:tcPr>
            <w:tcW w:w="4536" w:type="dxa"/>
            <w:vAlign w:val="center"/>
          </w:tcPr>
          <w:p w14:paraId="0E06D3A4" w14:textId="77777777" w:rsidR="001A1BA1" w:rsidRPr="003E4C33" w:rsidRDefault="001A1BA1" w:rsidP="0011641F"/>
        </w:tc>
        <w:tc>
          <w:tcPr>
            <w:tcW w:w="1417" w:type="dxa"/>
            <w:vAlign w:val="center"/>
          </w:tcPr>
          <w:p w14:paraId="36F1E2E4" w14:textId="77777777" w:rsidR="001A1BA1" w:rsidRPr="003E4C33" w:rsidRDefault="001A1BA1" w:rsidP="0011641F"/>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103"/>
        <w:gridCol w:w="1418"/>
      </w:tblGrid>
      <w:tr w:rsidR="0BC4DFF5" w:rsidRPr="003E4C33" w14:paraId="56628C58" w14:textId="77777777" w:rsidTr="0BC4DFF5">
        <w:trPr>
          <w:trHeight w:val="300"/>
        </w:trPr>
        <w:tc>
          <w:tcPr>
            <w:tcW w:w="5103" w:type="dxa"/>
            <w:vAlign w:val="center"/>
          </w:tcPr>
          <w:p w14:paraId="3B34AFC0" w14:textId="4D25B995" w:rsidR="00047B41" w:rsidRPr="00047B41" w:rsidRDefault="00047B41" w:rsidP="00047B41">
            <w:pPr>
              <w:rPr>
                <w:b/>
                <w:bCs/>
                <w:i/>
                <w:iCs/>
                <w:color w:val="auto"/>
              </w:rPr>
            </w:pPr>
            <w:r w:rsidRPr="00047B41">
              <w:rPr>
                <w:b/>
                <w:bCs/>
                <w:i/>
                <w:iCs/>
                <w:noProof/>
                <w:color w:val="auto"/>
              </w:rPr>
              <w:drawing>
                <wp:inline distT="0" distB="0" distL="0" distR="0" wp14:anchorId="75C2549B" wp14:editId="598DE2DD">
                  <wp:extent cx="1390717" cy="488950"/>
                  <wp:effectExtent l="0" t="0" r="0" b="6350"/>
                  <wp:docPr id="454143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464" cy="495541"/>
                          </a:xfrm>
                          <a:prstGeom prst="rect">
                            <a:avLst/>
                          </a:prstGeom>
                          <a:noFill/>
                          <a:ln>
                            <a:noFill/>
                          </a:ln>
                        </pic:spPr>
                      </pic:pic>
                    </a:graphicData>
                  </a:graphic>
                </wp:inline>
              </w:drawing>
            </w:r>
          </w:p>
          <w:p w14:paraId="0E828CBD" w14:textId="08B49CB0" w:rsidR="0BC4DFF5" w:rsidRPr="00660624" w:rsidRDefault="00660624" w:rsidP="0BC4DFF5">
            <w:pPr>
              <w:rPr>
                <w:bCs/>
                <w:i/>
                <w:iCs/>
              </w:rPr>
            </w:pPr>
            <w:r w:rsidRPr="00660624">
              <w:rPr>
                <w:rStyle w:val="Firstpagetablebold"/>
                <w:bCs/>
                <w:i/>
                <w:iCs/>
                <w:color w:val="auto"/>
              </w:rPr>
              <w:t>Tom Hook Deputy Chief Executive – City and Citizens’ Services</w:t>
            </w:r>
          </w:p>
        </w:tc>
        <w:tc>
          <w:tcPr>
            <w:tcW w:w="1417" w:type="dxa"/>
            <w:vAlign w:val="center"/>
          </w:tcPr>
          <w:p w14:paraId="26A26CF0" w14:textId="62079FE4" w:rsidR="0BC4DFF5" w:rsidRPr="003E4C33" w:rsidRDefault="00047B41" w:rsidP="0BC4DFF5">
            <w:pPr>
              <w:rPr>
                <w:b/>
                <w:bCs/>
                <w:i/>
                <w:iCs/>
              </w:rPr>
            </w:pPr>
            <w:r>
              <w:rPr>
                <w:b/>
                <w:bCs/>
                <w:i/>
                <w:iCs/>
              </w:rPr>
              <w:t>12/08/2025</w:t>
            </w:r>
          </w:p>
        </w:tc>
      </w:tr>
      <w:tr w:rsidR="0BC4DFF5" w:rsidRPr="003E4C33" w14:paraId="2894A491" w14:textId="77777777" w:rsidTr="0BC4DFF5">
        <w:trPr>
          <w:trHeight w:val="300"/>
        </w:trPr>
        <w:tc>
          <w:tcPr>
            <w:tcW w:w="5103" w:type="dxa"/>
            <w:vAlign w:val="center"/>
          </w:tcPr>
          <w:p w14:paraId="249841EC" w14:textId="21479505" w:rsidR="0BC4DFF5" w:rsidRPr="00C55247" w:rsidRDefault="0BC4DFF5">
            <w:r w:rsidRPr="00C55247">
              <w:rPr>
                <w:color w:val="auto"/>
              </w:rPr>
              <w:lastRenderedPageBreak/>
              <w:t>The officer with authority to take the decision, either from a Cabinet delegation or in the Constitution.</w:t>
            </w:r>
          </w:p>
        </w:tc>
        <w:tc>
          <w:tcPr>
            <w:tcW w:w="1417" w:type="dxa"/>
            <w:vAlign w:val="center"/>
          </w:tcPr>
          <w:p w14:paraId="32E398AB" w14:textId="77777777" w:rsidR="00CB7A4F" w:rsidRPr="003E4C33" w:rsidRDefault="00CB7A4F"/>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call in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2"/>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4"/>
      <w:footerReference w:type="even" r:id="rId15"/>
      <w:footerReference w:type="default" r:id="rId16"/>
      <w:headerReference w:type="first" r:id="rId17"/>
      <w:footerReference w:type="first" r:id="rId18"/>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56C7" w14:textId="77777777" w:rsidR="008369FC" w:rsidRDefault="008369FC" w:rsidP="004A6D2F">
      <w:r>
        <w:separator/>
      </w:r>
    </w:p>
  </w:endnote>
  <w:endnote w:type="continuationSeparator" w:id="0">
    <w:p w14:paraId="37D2DE68" w14:textId="77777777" w:rsidR="008369FC" w:rsidRDefault="008369FC" w:rsidP="004A6D2F">
      <w:r>
        <w:continuationSeparator/>
      </w:r>
    </w:p>
  </w:endnote>
  <w:endnote w:type="continuationNotice" w:id="1">
    <w:p w14:paraId="4E0DCD1A" w14:textId="77777777" w:rsidR="008369FC" w:rsidRDefault="008369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5BAF" w14:textId="77777777" w:rsidR="001A1BA1" w:rsidRPr="001A1BA1" w:rsidRDefault="001A1BA1" w:rsidP="001A1BA1">
    <w:pPr>
      <w:pStyle w:val="Footer"/>
      <w:jc w:val="center"/>
      <w:rPr>
        <w:rFonts w:cs="Arial"/>
        <w:b/>
        <w:sz w:val="24"/>
      </w:rPr>
    </w:pPr>
    <w:r w:rsidRPr="001A1BA1">
      <w:rPr>
        <w:rFonts w:cs="Arial"/>
        <w:b/>
        <w:sz w:val="24"/>
      </w:rPr>
      <w:t xml:space="preserve">Please send the completed form to </w:t>
    </w:r>
    <w:hyperlink r:id="rId1" w:history="1">
      <w:r w:rsidRPr="001A1BA1">
        <w:rPr>
          <w:rStyle w:val="Hyperlink"/>
          <w:rFonts w:cs="Arial"/>
          <w:b/>
        </w:rPr>
        <w:t>forwardplan@oxford.gov.uk</w:t>
      </w:r>
    </w:hyperlink>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A256" w14:textId="77777777" w:rsidR="008369FC" w:rsidRDefault="008369FC" w:rsidP="004A6D2F">
      <w:r>
        <w:separator/>
      </w:r>
    </w:p>
  </w:footnote>
  <w:footnote w:type="continuationSeparator" w:id="0">
    <w:p w14:paraId="3CB2D144" w14:textId="77777777" w:rsidR="008369FC" w:rsidRDefault="008369FC" w:rsidP="004A6D2F">
      <w:r>
        <w:continuationSeparator/>
      </w:r>
    </w:p>
  </w:footnote>
  <w:footnote w:type="continuationNotice" w:id="1">
    <w:p w14:paraId="7A6D18A1" w14:textId="77777777" w:rsidR="008369FC" w:rsidRDefault="008369FC">
      <w:pPr>
        <w:spacing w:after="0"/>
      </w:pPr>
    </w:p>
  </w:footnote>
  <w:footnote w:id="2">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A5FD8"/>
    <w:multiLevelType w:val="multilevel"/>
    <w:tmpl w:val="43D6D2FA"/>
    <w:numStyleLink w:val="StyleBulletedSymbolsymbolLeft063cmHanging063cm"/>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2831"/>
    <w:multiLevelType w:val="multilevel"/>
    <w:tmpl w:val="43D6D2FA"/>
    <w:numStyleLink w:val="StyleBulletedSymbolsymbolLeft063cmHanging063cm"/>
  </w:abstractNum>
  <w:abstractNum w:abstractNumId="36"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65C6"/>
    <w:multiLevelType w:val="multilevel"/>
    <w:tmpl w:val="E67CE66C"/>
    <w:numStyleLink w:val="StyleNumberedLeft0cmHanging075cm"/>
  </w:abstractNum>
  <w:abstractNum w:abstractNumId="43"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6"/>
  </w:num>
  <w:num w:numId="2" w16cid:durableId="295525028">
    <w:abstractNumId w:val="16"/>
  </w:num>
  <w:num w:numId="3" w16cid:durableId="449398042">
    <w:abstractNumId w:val="32"/>
  </w:num>
  <w:num w:numId="4" w16cid:durableId="155997720">
    <w:abstractNumId w:val="38"/>
  </w:num>
  <w:num w:numId="5" w16cid:durableId="684749378">
    <w:abstractNumId w:val="27"/>
  </w:num>
  <w:num w:numId="6" w16cid:durableId="432477665">
    <w:abstractNumId w:val="20"/>
  </w:num>
  <w:num w:numId="7" w16cid:durableId="1168204831">
    <w:abstractNumId w:val="34"/>
  </w:num>
  <w:num w:numId="8" w16cid:durableId="155805248">
    <w:abstractNumId w:val="40"/>
  </w:num>
  <w:num w:numId="9" w16cid:durableId="1582835092">
    <w:abstractNumId w:val="26"/>
  </w:num>
  <w:num w:numId="10" w16cid:durableId="1896813794">
    <w:abstractNumId w:val="22"/>
  </w:num>
  <w:num w:numId="11" w16cid:durableId="1223564051">
    <w:abstractNumId w:val="14"/>
  </w:num>
  <w:num w:numId="12" w16cid:durableId="1616984022">
    <w:abstractNumId w:val="17"/>
  </w:num>
  <w:num w:numId="13" w16cid:durableId="611942354">
    <w:abstractNumId w:val="29"/>
  </w:num>
  <w:num w:numId="14" w16cid:durableId="48847933">
    <w:abstractNumId w:val="28"/>
  </w:num>
  <w:num w:numId="15" w16cid:durableId="1594360626">
    <w:abstractNumId w:val="11"/>
  </w:num>
  <w:num w:numId="16" w16cid:durableId="806975598">
    <w:abstractNumId w:val="42"/>
  </w:num>
  <w:num w:numId="17" w16cid:durableId="1143692141">
    <w:abstractNumId w:val="18"/>
  </w:num>
  <w:num w:numId="18" w16cid:durableId="290284048">
    <w:abstractNumId w:val="12"/>
  </w:num>
  <w:num w:numId="19" w16cid:durableId="346717609">
    <w:abstractNumId w:val="33"/>
  </w:num>
  <w:num w:numId="20" w16cid:durableId="490602500">
    <w:abstractNumId w:val="13"/>
  </w:num>
  <w:num w:numId="21" w16cid:durableId="1664510238">
    <w:abstractNumId w:val="35"/>
  </w:num>
  <w:num w:numId="22" w16cid:durableId="1264797914">
    <w:abstractNumId w:val="19"/>
  </w:num>
  <w:num w:numId="23" w16cid:durableId="1892495712">
    <w:abstractNumId w:val="23"/>
  </w:num>
  <w:num w:numId="24" w16cid:durableId="1551064890">
    <w:abstractNumId w:val="15"/>
  </w:num>
  <w:num w:numId="25" w16cid:durableId="637807967">
    <w:abstractNumId w:val="37"/>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0"/>
  </w:num>
  <w:num w:numId="37" w16cid:durableId="840047793">
    <w:abstractNumId w:val="31"/>
  </w:num>
  <w:num w:numId="38" w16cid:durableId="1263950813">
    <w:abstractNumId w:val="41"/>
  </w:num>
  <w:num w:numId="39" w16cid:durableId="327559103">
    <w:abstractNumId w:val="10"/>
  </w:num>
  <w:num w:numId="40" w16cid:durableId="1311447890">
    <w:abstractNumId w:val="43"/>
  </w:num>
  <w:num w:numId="41" w16cid:durableId="1370304610">
    <w:abstractNumId w:val="39"/>
  </w:num>
  <w:num w:numId="42" w16cid:durableId="1152941978">
    <w:abstractNumId w:val="21"/>
  </w:num>
  <w:num w:numId="43" w16cid:durableId="491873441">
    <w:abstractNumId w:val="24"/>
  </w:num>
  <w:num w:numId="44" w16cid:durableId="200674123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061F"/>
    <w:rsid w:val="000117D4"/>
    <w:rsid w:val="0001511A"/>
    <w:rsid w:val="000314B6"/>
    <w:rsid w:val="000314D7"/>
    <w:rsid w:val="0003215F"/>
    <w:rsid w:val="00034054"/>
    <w:rsid w:val="00045F8B"/>
    <w:rsid w:val="00046D2B"/>
    <w:rsid w:val="00047B41"/>
    <w:rsid w:val="00056263"/>
    <w:rsid w:val="00064D8A"/>
    <w:rsid w:val="00064F82"/>
    <w:rsid w:val="00066510"/>
    <w:rsid w:val="00071D04"/>
    <w:rsid w:val="00077523"/>
    <w:rsid w:val="0008425C"/>
    <w:rsid w:val="000B1DFC"/>
    <w:rsid w:val="000C089F"/>
    <w:rsid w:val="000C3928"/>
    <w:rsid w:val="000C5E8E"/>
    <w:rsid w:val="000F3878"/>
    <w:rsid w:val="000F4751"/>
    <w:rsid w:val="0010524C"/>
    <w:rsid w:val="00111FB1"/>
    <w:rsid w:val="00113418"/>
    <w:rsid w:val="0011641F"/>
    <w:rsid w:val="00117C1C"/>
    <w:rsid w:val="00124BE3"/>
    <w:rsid w:val="00124E5C"/>
    <w:rsid w:val="001356F1"/>
    <w:rsid w:val="00136994"/>
    <w:rsid w:val="0014128E"/>
    <w:rsid w:val="00141BB6"/>
    <w:rsid w:val="00151888"/>
    <w:rsid w:val="00166E49"/>
    <w:rsid w:val="00170A2D"/>
    <w:rsid w:val="00170F3A"/>
    <w:rsid w:val="001808BC"/>
    <w:rsid w:val="00182B81"/>
    <w:rsid w:val="001849B5"/>
    <w:rsid w:val="0018619D"/>
    <w:rsid w:val="001A011E"/>
    <w:rsid w:val="001A066A"/>
    <w:rsid w:val="001A13E6"/>
    <w:rsid w:val="001A1BA1"/>
    <w:rsid w:val="001A512E"/>
    <w:rsid w:val="001A5731"/>
    <w:rsid w:val="001B42C3"/>
    <w:rsid w:val="001B485B"/>
    <w:rsid w:val="001C5D5E"/>
    <w:rsid w:val="001C65E8"/>
    <w:rsid w:val="001C739C"/>
    <w:rsid w:val="001D2FAE"/>
    <w:rsid w:val="001D678D"/>
    <w:rsid w:val="001E03F8"/>
    <w:rsid w:val="001E1678"/>
    <w:rsid w:val="001E3376"/>
    <w:rsid w:val="00201452"/>
    <w:rsid w:val="00203A71"/>
    <w:rsid w:val="002069B3"/>
    <w:rsid w:val="00226F8A"/>
    <w:rsid w:val="002329CF"/>
    <w:rsid w:val="00232F5B"/>
    <w:rsid w:val="00240B3E"/>
    <w:rsid w:val="00241830"/>
    <w:rsid w:val="00247C29"/>
    <w:rsid w:val="00260467"/>
    <w:rsid w:val="00263EA3"/>
    <w:rsid w:val="00284F85"/>
    <w:rsid w:val="002870C3"/>
    <w:rsid w:val="00290915"/>
    <w:rsid w:val="00290EC1"/>
    <w:rsid w:val="002A22E2"/>
    <w:rsid w:val="002B46A9"/>
    <w:rsid w:val="002B6836"/>
    <w:rsid w:val="002C64F7"/>
    <w:rsid w:val="002D2AAB"/>
    <w:rsid w:val="002E0111"/>
    <w:rsid w:val="002E1610"/>
    <w:rsid w:val="002F3158"/>
    <w:rsid w:val="002F41F2"/>
    <w:rsid w:val="00301BF3"/>
    <w:rsid w:val="0030208D"/>
    <w:rsid w:val="00323418"/>
    <w:rsid w:val="003273FD"/>
    <w:rsid w:val="0033565F"/>
    <w:rsid w:val="003357BF"/>
    <w:rsid w:val="00340B77"/>
    <w:rsid w:val="003415B8"/>
    <w:rsid w:val="003513B4"/>
    <w:rsid w:val="00354567"/>
    <w:rsid w:val="00364FAD"/>
    <w:rsid w:val="0036738F"/>
    <w:rsid w:val="0036759C"/>
    <w:rsid w:val="00367AE5"/>
    <w:rsid w:val="00367D18"/>
    <w:rsid w:val="00367D71"/>
    <w:rsid w:val="00372A82"/>
    <w:rsid w:val="0038150A"/>
    <w:rsid w:val="00395686"/>
    <w:rsid w:val="003A6AC8"/>
    <w:rsid w:val="003B6E75"/>
    <w:rsid w:val="003B7DA1"/>
    <w:rsid w:val="003D0379"/>
    <w:rsid w:val="003D2574"/>
    <w:rsid w:val="003D4C59"/>
    <w:rsid w:val="003D4C79"/>
    <w:rsid w:val="003E4C33"/>
    <w:rsid w:val="003E6C36"/>
    <w:rsid w:val="003F4267"/>
    <w:rsid w:val="00404032"/>
    <w:rsid w:val="0040736F"/>
    <w:rsid w:val="00412C1F"/>
    <w:rsid w:val="00416F9B"/>
    <w:rsid w:val="00421CB2"/>
    <w:rsid w:val="00423418"/>
    <w:rsid w:val="004268B9"/>
    <w:rsid w:val="00433B96"/>
    <w:rsid w:val="00442C9D"/>
    <w:rsid w:val="004440F1"/>
    <w:rsid w:val="004456DD"/>
    <w:rsid w:val="00446CDF"/>
    <w:rsid w:val="004521B7"/>
    <w:rsid w:val="004548E0"/>
    <w:rsid w:val="00462AB5"/>
    <w:rsid w:val="00465EAF"/>
    <w:rsid w:val="0046642A"/>
    <w:rsid w:val="00466E57"/>
    <w:rsid w:val="004738C5"/>
    <w:rsid w:val="0047737B"/>
    <w:rsid w:val="004873F6"/>
    <w:rsid w:val="00491046"/>
    <w:rsid w:val="00496078"/>
    <w:rsid w:val="004A2AC7"/>
    <w:rsid w:val="004A39C3"/>
    <w:rsid w:val="004A4216"/>
    <w:rsid w:val="004A6D2F"/>
    <w:rsid w:val="004B11AE"/>
    <w:rsid w:val="004C2887"/>
    <w:rsid w:val="004C56D3"/>
    <w:rsid w:val="004D2626"/>
    <w:rsid w:val="004D6E26"/>
    <w:rsid w:val="004D77D3"/>
    <w:rsid w:val="004E2959"/>
    <w:rsid w:val="004F01A7"/>
    <w:rsid w:val="004F1AE0"/>
    <w:rsid w:val="004F20EF"/>
    <w:rsid w:val="0050321C"/>
    <w:rsid w:val="005046F1"/>
    <w:rsid w:val="00507ECC"/>
    <w:rsid w:val="00512370"/>
    <w:rsid w:val="00523261"/>
    <w:rsid w:val="00531E16"/>
    <w:rsid w:val="0054306B"/>
    <w:rsid w:val="0054712D"/>
    <w:rsid w:val="00547EF6"/>
    <w:rsid w:val="005570B5"/>
    <w:rsid w:val="00561AB7"/>
    <w:rsid w:val="00566AE4"/>
    <w:rsid w:val="00566DCF"/>
    <w:rsid w:val="00567E18"/>
    <w:rsid w:val="00575F5F"/>
    <w:rsid w:val="00576CD0"/>
    <w:rsid w:val="00581805"/>
    <w:rsid w:val="00585F76"/>
    <w:rsid w:val="005A18BF"/>
    <w:rsid w:val="005A34E4"/>
    <w:rsid w:val="005A6610"/>
    <w:rsid w:val="005B17F2"/>
    <w:rsid w:val="005B7FB0"/>
    <w:rsid w:val="005C35A5"/>
    <w:rsid w:val="005C577C"/>
    <w:rsid w:val="005D0621"/>
    <w:rsid w:val="005D1E27"/>
    <w:rsid w:val="005D2A3E"/>
    <w:rsid w:val="005E022E"/>
    <w:rsid w:val="005E2B45"/>
    <w:rsid w:val="005E5215"/>
    <w:rsid w:val="005F7F7E"/>
    <w:rsid w:val="00614693"/>
    <w:rsid w:val="00617121"/>
    <w:rsid w:val="00622741"/>
    <w:rsid w:val="00623C2F"/>
    <w:rsid w:val="00630829"/>
    <w:rsid w:val="006308E0"/>
    <w:rsid w:val="00633578"/>
    <w:rsid w:val="0063408C"/>
    <w:rsid w:val="00635E3E"/>
    <w:rsid w:val="00637068"/>
    <w:rsid w:val="00650811"/>
    <w:rsid w:val="00660624"/>
    <w:rsid w:val="006609E4"/>
    <w:rsid w:val="00661D3E"/>
    <w:rsid w:val="006654EA"/>
    <w:rsid w:val="00670BAE"/>
    <w:rsid w:val="00680A7A"/>
    <w:rsid w:val="00692627"/>
    <w:rsid w:val="006969E7"/>
    <w:rsid w:val="006A3643"/>
    <w:rsid w:val="006B10C2"/>
    <w:rsid w:val="006B2DE1"/>
    <w:rsid w:val="006B53CC"/>
    <w:rsid w:val="006C2A29"/>
    <w:rsid w:val="006C4EB8"/>
    <w:rsid w:val="006C64CF"/>
    <w:rsid w:val="006C767F"/>
    <w:rsid w:val="006C7D2E"/>
    <w:rsid w:val="006D17B1"/>
    <w:rsid w:val="006D309B"/>
    <w:rsid w:val="006D4752"/>
    <w:rsid w:val="006D4EF9"/>
    <w:rsid w:val="006D708A"/>
    <w:rsid w:val="006E14C1"/>
    <w:rsid w:val="006E1FA1"/>
    <w:rsid w:val="006E614E"/>
    <w:rsid w:val="006F0292"/>
    <w:rsid w:val="006F27FA"/>
    <w:rsid w:val="006F416B"/>
    <w:rsid w:val="006F519B"/>
    <w:rsid w:val="007005AE"/>
    <w:rsid w:val="00710AF6"/>
    <w:rsid w:val="00713675"/>
    <w:rsid w:val="00715823"/>
    <w:rsid w:val="007253EF"/>
    <w:rsid w:val="00727FE2"/>
    <w:rsid w:val="00737B93"/>
    <w:rsid w:val="00745BF0"/>
    <w:rsid w:val="00751EA3"/>
    <w:rsid w:val="007615FE"/>
    <w:rsid w:val="00764BAF"/>
    <w:rsid w:val="0076655C"/>
    <w:rsid w:val="007742DC"/>
    <w:rsid w:val="00791437"/>
    <w:rsid w:val="00791ADF"/>
    <w:rsid w:val="00794C78"/>
    <w:rsid w:val="007967CA"/>
    <w:rsid w:val="007B0C2C"/>
    <w:rsid w:val="007B278E"/>
    <w:rsid w:val="007B5CA2"/>
    <w:rsid w:val="007C5C23"/>
    <w:rsid w:val="007D191C"/>
    <w:rsid w:val="007E2A26"/>
    <w:rsid w:val="007F188E"/>
    <w:rsid w:val="007F2348"/>
    <w:rsid w:val="007F4757"/>
    <w:rsid w:val="007F7089"/>
    <w:rsid w:val="00801AC5"/>
    <w:rsid w:val="00803F07"/>
    <w:rsid w:val="008044EE"/>
    <w:rsid w:val="0080749A"/>
    <w:rsid w:val="008111CA"/>
    <w:rsid w:val="00821FB8"/>
    <w:rsid w:val="00822ACD"/>
    <w:rsid w:val="008369FC"/>
    <w:rsid w:val="00855C66"/>
    <w:rsid w:val="0085731B"/>
    <w:rsid w:val="00871EE4"/>
    <w:rsid w:val="0087470E"/>
    <w:rsid w:val="008801A0"/>
    <w:rsid w:val="008954DF"/>
    <w:rsid w:val="008A34D3"/>
    <w:rsid w:val="008B293F"/>
    <w:rsid w:val="008B7371"/>
    <w:rsid w:val="008C3026"/>
    <w:rsid w:val="008D2347"/>
    <w:rsid w:val="008D3DDB"/>
    <w:rsid w:val="008F1BB4"/>
    <w:rsid w:val="008F3B04"/>
    <w:rsid w:val="008F573F"/>
    <w:rsid w:val="0090217E"/>
    <w:rsid w:val="009034EC"/>
    <w:rsid w:val="009038C6"/>
    <w:rsid w:val="0093067A"/>
    <w:rsid w:val="00941C60"/>
    <w:rsid w:val="00941FD1"/>
    <w:rsid w:val="00954519"/>
    <w:rsid w:val="00962572"/>
    <w:rsid w:val="0096297B"/>
    <w:rsid w:val="0096515D"/>
    <w:rsid w:val="00966D42"/>
    <w:rsid w:val="00971689"/>
    <w:rsid w:val="0097170F"/>
    <w:rsid w:val="00973E90"/>
    <w:rsid w:val="00975684"/>
    <w:rsid w:val="00975B07"/>
    <w:rsid w:val="00980B4A"/>
    <w:rsid w:val="0099164D"/>
    <w:rsid w:val="009B3E8A"/>
    <w:rsid w:val="009D3627"/>
    <w:rsid w:val="009D7080"/>
    <w:rsid w:val="009D787C"/>
    <w:rsid w:val="009E3D0A"/>
    <w:rsid w:val="009E51FC"/>
    <w:rsid w:val="009E68E0"/>
    <w:rsid w:val="009F1D28"/>
    <w:rsid w:val="009F6BC0"/>
    <w:rsid w:val="009F7618"/>
    <w:rsid w:val="00A01C16"/>
    <w:rsid w:val="00A04D23"/>
    <w:rsid w:val="00A06766"/>
    <w:rsid w:val="00A13765"/>
    <w:rsid w:val="00A21B12"/>
    <w:rsid w:val="00A23F80"/>
    <w:rsid w:val="00A254D5"/>
    <w:rsid w:val="00A46E98"/>
    <w:rsid w:val="00A6026F"/>
    <w:rsid w:val="00A6352B"/>
    <w:rsid w:val="00A701B5"/>
    <w:rsid w:val="00A714BB"/>
    <w:rsid w:val="00A77147"/>
    <w:rsid w:val="00A824F2"/>
    <w:rsid w:val="00A8492D"/>
    <w:rsid w:val="00A92D8F"/>
    <w:rsid w:val="00AA306F"/>
    <w:rsid w:val="00AB2988"/>
    <w:rsid w:val="00AB2A81"/>
    <w:rsid w:val="00AB3F66"/>
    <w:rsid w:val="00AB44FE"/>
    <w:rsid w:val="00AB6477"/>
    <w:rsid w:val="00AB64FA"/>
    <w:rsid w:val="00AB7999"/>
    <w:rsid w:val="00AC494D"/>
    <w:rsid w:val="00AD3292"/>
    <w:rsid w:val="00AD6945"/>
    <w:rsid w:val="00AE1684"/>
    <w:rsid w:val="00AE262E"/>
    <w:rsid w:val="00AE7AF0"/>
    <w:rsid w:val="00B10433"/>
    <w:rsid w:val="00B13982"/>
    <w:rsid w:val="00B14622"/>
    <w:rsid w:val="00B35BD0"/>
    <w:rsid w:val="00B459FF"/>
    <w:rsid w:val="00B500CA"/>
    <w:rsid w:val="00B53BDF"/>
    <w:rsid w:val="00B6369C"/>
    <w:rsid w:val="00B86314"/>
    <w:rsid w:val="00B93FFA"/>
    <w:rsid w:val="00BA1C2E"/>
    <w:rsid w:val="00BC200B"/>
    <w:rsid w:val="00BC4756"/>
    <w:rsid w:val="00BC69A4"/>
    <w:rsid w:val="00BD1F7A"/>
    <w:rsid w:val="00BD72D6"/>
    <w:rsid w:val="00BE0680"/>
    <w:rsid w:val="00BE305F"/>
    <w:rsid w:val="00BE37D8"/>
    <w:rsid w:val="00BE7BA3"/>
    <w:rsid w:val="00BF2B37"/>
    <w:rsid w:val="00BF47DD"/>
    <w:rsid w:val="00BF5682"/>
    <w:rsid w:val="00BF7B09"/>
    <w:rsid w:val="00C05260"/>
    <w:rsid w:val="00C059B9"/>
    <w:rsid w:val="00C076B9"/>
    <w:rsid w:val="00C13356"/>
    <w:rsid w:val="00C20A95"/>
    <w:rsid w:val="00C21953"/>
    <w:rsid w:val="00C2692F"/>
    <w:rsid w:val="00C3207C"/>
    <w:rsid w:val="00C36619"/>
    <w:rsid w:val="00C400E1"/>
    <w:rsid w:val="00C41187"/>
    <w:rsid w:val="00C468DF"/>
    <w:rsid w:val="00C47DEC"/>
    <w:rsid w:val="00C55247"/>
    <w:rsid w:val="00C63C31"/>
    <w:rsid w:val="00C757A0"/>
    <w:rsid w:val="00C760DE"/>
    <w:rsid w:val="00C82630"/>
    <w:rsid w:val="00C85B4E"/>
    <w:rsid w:val="00C87578"/>
    <w:rsid w:val="00C907F7"/>
    <w:rsid w:val="00CA2103"/>
    <w:rsid w:val="00CB21E8"/>
    <w:rsid w:val="00CB2DA3"/>
    <w:rsid w:val="00CB6B99"/>
    <w:rsid w:val="00CB7A4F"/>
    <w:rsid w:val="00CE284A"/>
    <w:rsid w:val="00CE4C87"/>
    <w:rsid w:val="00CE544A"/>
    <w:rsid w:val="00CF6DE0"/>
    <w:rsid w:val="00D01361"/>
    <w:rsid w:val="00D11E1C"/>
    <w:rsid w:val="00D160B0"/>
    <w:rsid w:val="00D17F94"/>
    <w:rsid w:val="00D223FC"/>
    <w:rsid w:val="00D26D1E"/>
    <w:rsid w:val="00D33FBF"/>
    <w:rsid w:val="00D45E47"/>
    <w:rsid w:val="00D474CF"/>
    <w:rsid w:val="00D52BCD"/>
    <w:rsid w:val="00D5547E"/>
    <w:rsid w:val="00D6203D"/>
    <w:rsid w:val="00D8270A"/>
    <w:rsid w:val="00D860E2"/>
    <w:rsid w:val="00D869A1"/>
    <w:rsid w:val="00D95F81"/>
    <w:rsid w:val="00DA413F"/>
    <w:rsid w:val="00DA4584"/>
    <w:rsid w:val="00DA47BC"/>
    <w:rsid w:val="00DA614B"/>
    <w:rsid w:val="00DB75F7"/>
    <w:rsid w:val="00DB7AD7"/>
    <w:rsid w:val="00DC3060"/>
    <w:rsid w:val="00DD54E0"/>
    <w:rsid w:val="00DE018E"/>
    <w:rsid w:val="00DE0FB2"/>
    <w:rsid w:val="00DF093E"/>
    <w:rsid w:val="00DF2116"/>
    <w:rsid w:val="00DF5D4E"/>
    <w:rsid w:val="00E01F42"/>
    <w:rsid w:val="00E05CAA"/>
    <w:rsid w:val="00E206D6"/>
    <w:rsid w:val="00E22D25"/>
    <w:rsid w:val="00E3366E"/>
    <w:rsid w:val="00E36C2D"/>
    <w:rsid w:val="00E46CF6"/>
    <w:rsid w:val="00E508A1"/>
    <w:rsid w:val="00E52086"/>
    <w:rsid w:val="00E543A6"/>
    <w:rsid w:val="00E551C4"/>
    <w:rsid w:val="00E60479"/>
    <w:rsid w:val="00E61D73"/>
    <w:rsid w:val="00E73684"/>
    <w:rsid w:val="00E818D6"/>
    <w:rsid w:val="00E86C33"/>
    <w:rsid w:val="00E87F7A"/>
    <w:rsid w:val="00E94B3E"/>
    <w:rsid w:val="00E96BD7"/>
    <w:rsid w:val="00EA0DB1"/>
    <w:rsid w:val="00EA0EE9"/>
    <w:rsid w:val="00EA3F42"/>
    <w:rsid w:val="00EC3F1C"/>
    <w:rsid w:val="00ED52CA"/>
    <w:rsid w:val="00ED5860"/>
    <w:rsid w:val="00EE149B"/>
    <w:rsid w:val="00EE35C9"/>
    <w:rsid w:val="00F03F3C"/>
    <w:rsid w:val="00F05ECA"/>
    <w:rsid w:val="00F122B1"/>
    <w:rsid w:val="00F26E21"/>
    <w:rsid w:val="00F3566E"/>
    <w:rsid w:val="00F375FB"/>
    <w:rsid w:val="00F41AC1"/>
    <w:rsid w:val="00F4233C"/>
    <w:rsid w:val="00F4367A"/>
    <w:rsid w:val="00F445B1"/>
    <w:rsid w:val="00F45CD4"/>
    <w:rsid w:val="00F522C6"/>
    <w:rsid w:val="00F66DCA"/>
    <w:rsid w:val="00F74F53"/>
    <w:rsid w:val="00F7606D"/>
    <w:rsid w:val="00F81670"/>
    <w:rsid w:val="00F82024"/>
    <w:rsid w:val="00F865A3"/>
    <w:rsid w:val="00F95BC9"/>
    <w:rsid w:val="00F96B7E"/>
    <w:rsid w:val="00FA624C"/>
    <w:rsid w:val="00FA6D76"/>
    <w:rsid w:val="00FB33A6"/>
    <w:rsid w:val="00FB3B71"/>
    <w:rsid w:val="00FC4475"/>
    <w:rsid w:val="00FC518E"/>
    <w:rsid w:val="00FD0FAC"/>
    <w:rsid w:val="00FD1DFA"/>
    <w:rsid w:val="00FD4966"/>
    <w:rsid w:val="00FE3A3A"/>
    <w:rsid w:val="00FE57DC"/>
    <w:rsid w:val="00FF095A"/>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61C918F4-C84A-46F5-BC78-7A37F6E2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141BB6"/>
    <w:rPr>
      <w:color w:val="605E5C"/>
      <w:shd w:val="clear" w:color="auto" w:fill="E1DFDD"/>
    </w:rPr>
  </w:style>
  <w:style w:type="character" w:styleId="FollowedHyperlink">
    <w:name w:val="FollowedHyperlink"/>
    <w:basedOn w:val="DefaultParagraphFont"/>
    <w:semiHidden/>
    <w:unhideWhenUsed/>
    <w:rsid w:val="00141B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525">
      <w:bodyDiv w:val="1"/>
      <w:marLeft w:val="0"/>
      <w:marRight w:val="0"/>
      <w:marTop w:val="0"/>
      <w:marBottom w:val="0"/>
      <w:divBdr>
        <w:top w:val="none" w:sz="0" w:space="0" w:color="auto"/>
        <w:left w:val="none" w:sz="0" w:space="0" w:color="auto"/>
        <w:bottom w:val="none" w:sz="0" w:space="0" w:color="auto"/>
        <w:right w:val="none" w:sz="0" w:space="0" w:color="auto"/>
      </w:divBdr>
    </w:div>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2952103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4706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dmunds@oxfor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mycouncil.oxford.gov.uk%2Fdocuments%2Fs79591%2FTemporary%2520Accommodation%2520Demand%2520and%2520Mitigations.pdf&amp;data=05%7C02%7CKEdmunds%40oxford.gov.uk%7Cc52854f9a9784c54e45808dd6dd94108%7C9f3d0f395e2b4f889d43e9344f9aa02d%7C0%7C0%7C638787502348832532%7CUnknown%7CTWFpbGZsb3d8eyJFbXB0eU1hcGkiOnRydWUsIlYiOiIwLjAuMDAwMCIsIlAiOiJXaW4zMiIsIkFOIjoiTWFpbCIsIldUIjoyfQ%3D%3D%7C0%7C%7C%7C&amp;sdata=HMaF3FB0gYHOWxCZ4KKzHAe3PubnHparAZl7Wow0HUk%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5796d7-5eaa-4285-837b-3bf557409554">
      <Terms xmlns="http://schemas.microsoft.com/office/infopath/2007/PartnerControls"/>
    </lcf76f155ced4ddcb4097134ff3c332f>
    <TaxCatchAll xmlns="f4289e97-0d63-4019-8f44-420cabf9f5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0BE0633AB60A4598BE9BC44FA12C9D" ma:contentTypeVersion="13" ma:contentTypeDescription="Create a new document." ma:contentTypeScope="" ma:versionID="d624f2945d92a00c7af28c33102189da">
  <xsd:schema xmlns:xsd="http://www.w3.org/2001/XMLSchema" xmlns:xs="http://www.w3.org/2001/XMLSchema" xmlns:p="http://schemas.microsoft.com/office/2006/metadata/properties" xmlns:ns2="fc5796d7-5eaa-4285-837b-3bf557409554" xmlns:ns3="f4289e97-0d63-4019-8f44-420cabf9f53d" targetNamespace="http://schemas.microsoft.com/office/2006/metadata/properties" ma:root="true" ma:fieldsID="6e3268fb05590a3aafb785aabf3f701b" ns2:_="" ns3:_="">
    <xsd:import namespace="fc5796d7-5eaa-4285-837b-3bf557409554"/>
    <xsd:import namespace="f4289e97-0d63-4019-8f44-420cabf9f5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796d7-5eaa-4285-837b-3bf55740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89e97-0d63-4019-8f44-420cabf9f5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5a5189b-5884-48bc-a0f8-26ff83d07832}" ma:internalName="TaxCatchAll" ma:showField="CatchAllData" ma:web="f4289e97-0d63-4019-8f44-420cabf9f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fc5796d7-5eaa-4285-837b-3bf557409554"/>
    <ds:schemaRef ds:uri="f4289e97-0d63-4019-8f44-420cabf9f53d"/>
  </ds:schemaRefs>
</ds:datastoreItem>
</file>

<file path=customXml/itemProps2.xml><?xml version="1.0" encoding="utf-8"?>
<ds:datastoreItem xmlns:ds="http://schemas.openxmlformats.org/officeDocument/2006/customXml" ds:itemID="{D616E307-EC43-48D6-BB07-435BD7AB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796d7-5eaa-4285-837b-3bf557409554"/>
    <ds:schemaRef ds:uri="f4289e97-0d63-4019-8f44-420cabf9f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4.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dc:description/>
  <cp:lastModifiedBy>MCCOLLUM Brenda</cp:lastModifiedBy>
  <cp:revision>3</cp:revision>
  <cp:lastPrinted>2015-07-03T13:50:00Z</cp:lastPrinted>
  <dcterms:created xsi:type="dcterms:W3CDTF">2025-08-12T15:03:00Z</dcterms:created>
  <dcterms:modified xsi:type="dcterms:W3CDTF">2025-08-12T15:08:00Z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0x010100AD0BE0633AB60A4598BE9BC44FA12C9D</vt:lpwstr>
  </property>
  <property fmtid="{D5CDD505-2E9C-101B-9397-08002B2CF9AE}" pid="3" name="MediaServiceImageTags">
    <vt:lpwstr/>
  </property>
</Properties>
</file>